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160D" w14:textId="77777777" w:rsidR="003202C9" w:rsidRPr="00A95E09" w:rsidRDefault="003202C9" w:rsidP="003202C9">
      <w:pPr>
        <w:pStyle w:val="Author"/>
        <w:rPr>
          <w:rFonts w:eastAsia="MS Mincho"/>
          <w:sz w:val="48"/>
          <w:szCs w:val="48"/>
          <w:lang w:val="en-AE"/>
        </w:rPr>
      </w:pPr>
      <w:r w:rsidRPr="00A95E09">
        <w:rPr>
          <w:rFonts w:eastAsia="MS Mincho"/>
          <w:sz w:val="48"/>
          <w:szCs w:val="48"/>
          <w:lang w:val="en-AE"/>
        </w:rPr>
        <w:t>A Clinical AI Framework for Improving Physiotherapy Referral Decisions in Outpatient Care</w:t>
      </w:r>
    </w:p>
    <w:p w14:paraId="76EFED66" w14:textId="77777777" w:rsidR="003202C9" w:rsidRPr="00CA4392" w:rsidRDefault="003202C9" w:rsidP="003202C9">
      <w:pPr>
        <w:pStyle w:val="Author"/>
        <w:spacing w:before="100" w:beforeAutospacing="1" w:after="100" w:afterAutospacing="1" w:line="120" w:lineRule="auto"/>
        <w:jc w:val="both"/>
        <w:rPr>
          <w:sz w:val="16"/>
          <w:szCs w:val="16"/>
        </w:rPr>
        <w:sectPr w:rsidR="003202C9" w:rsidRPr="00CA4392" w:rsidSect="003202C9">
          <w:footerReference w:type="even" r:id="rId8"/>
          <w:footerReference w:type="first" r:id="rId9"/>
          <w:pgSz w:w="12240" w:h="15840" w:code="1"/>
          <w:pgMar w:top="1080" w:right="893" w:bottom="1440" w:left="893" w:header="720" w:footer="720" w:gutter="0"/>
          <w:cols w:space="720"/>
          <w:titlePg/>
          <w:docGrid w:linePitch="360"/>
        </w:sectPr>
      </w:pPr>
    </w:p>
    <w:p w14:paraId="6D736BD8" w14:textId="77777777" w:rsidR="003202C9" w:rsidRDefault="003202C9" w:rsidP="003202C9">
      <w:pPr>
        <w:pStyle w:val="Author"/>
        <w:contextualSpacing/>
        <w:rPr>
          <w:sz w:val="18"/>
          <w:szCs w:val="18"/>
          <w:lang w:val="en-AE"/>
        </w:rPr>
        <w:sectPr w:rsidR="003202C9" w:rsidSect="003202C9">
          <w:type w:val="continuous"/>
          <w:pgSz w:w="12240" w:h="15840" w:code="1"/>
          <w:pgMar w:top="1080" w:right="893" w:bottom="1440" w:left="893" w:header="720" w:footer="720" w:gutter="0"/>
          <w:cols w:space="216"/>
          <w:docGrid w:linePitch="360"/>
        </w:sectPr>
      </w:pPr>
    </w:p>
    <w:p w14:paraId="7FFD3F2B" w14:textId="77777777" w:rsidR="003202C9" w:rsidRPr="00145ACB" w:rsidRDefault="003202C9" w:rsidP="0026569D">
      <w:pPr>
        <w:pStyle w:val="Author"/>
        <w:spacing w:before="0" w:after="0"/>
        <w:contextualSpacing/>
        <w:rPr>
          <w:sz w:val="18"/>
          <w:szCs w:val="18"/>
          <w:lang w:val="en-AE"/>
        </w:rPr>
        <w:sectPr w:rsidR="003202C9" w:rsidRPr="00145ACB" w:rsidSect="003202C9">
          <w:type w:val="continuous"/>
          <w:pgSz w:w="12240" w:h="15840" w:code="1"/>
          <w:pgMar w:top="1080" w:right="893" w:bottom="1440" w:left="893" w:header="720" w:footer="720" w:gutter="0"/>
          <w:cols w:space="720"/>
          <w:docGrid w:linePitch="360"/>
        </w:sectPr>
      </w:pPr>
      <w:r w:rsidRPr="00804F11">
        <w:rPr>
          <w:sz w:val="18"/>
          <w:szCs w:val="18"/>
          <w:lang w:val="en-AE"/>
        </w:rPr>
        <w:t>Hajar Sayyar AlHosani</w:t>
      </w:r>
      <w:r w:rsidRPr="00804F11">
        <w:rPr>
          <w:sz w:val="18"/>
          <w:szCs w:val="18"/>
          <w:lang w:val="en-AE"/>
        </w:rPr>
        <w:br/>
        <w:t>Department of Clinical Support Services</w:t>
      </w:r>
      <w:r w:rsidRPr="00804F11">
        <w:rPr>
          <w:sz w:val="18"/>
          <w:szCs w:val="18"/>
          <w:lang w:val="en-AE"/>
        </w:rPr>
        <w:br/>
        <w:t>Al Dhafra Hospital – SEHA</w:t>
      </w:r>
      <w:r w:rsidRPr="00804F11">
        <w:rPr>
          <w:sz w:val="18"/>
          <w:szCs w:val="18"/>
          <w:lang w:val="en-AE"/>
        </w:rPr>
        <w:br/>
        <w:t>Abu Dhabi, United Arab Emirates</w:t>
      </w:r>
      <w:r w:rsidRPr="00804F11">
        <w:rPr>
          <w:sz w:val="18"/>
          <w:szCs w:val="18"/>
          <w:lang w:val="en-AE"/>
        </w:rPr>
        <w:br/>
        <w:t>hajar.sayyar@hotmail.com</w:t>
      </w:r>
    </w:p>
    <w:p w14:paraId="316D3EA5" w14:textId="77777777" w:rsidR="003202C9" w:rsidRDefault="003202C9" w:rsidP="0026569D">
      <w:pPr>
        <w:pStyle w:val="Author"/>
        <w:spacing w:before="0" w:after="0"/>
        <w:jc w:val="both"/>
        <w:rPr>
          <w:sz w:val="16"/>
          <w:szCs w:val="16"/>
        </w:rPr>
      </w:pPr>
    </w:p>
    <w:p w14:paraId="39410A98" w14:textId="1501D188" w:rsidR="00854FF6" w:rsidRPr="002E4FC7" w:rsidRDefault="00854FF6" w:rsidP="0026569D">
      <w:pPr>
        <w:pStyle w:val="Author"/>
        <w:spacing w:before="0" w:after="0"/>
        <w:rPr>
          <w:sz w:val="12"/>
          <w:szCs w:val="12"/>
        </w:rPr>
        <w:sectPr w:rsidR="00854FF6" w:rsidRPr="002E4FC7" w:rsidSect="00854FF6">
          <w:type w:val="continuous"/>
          <w:pgSz w:w="12240" w:h="15840" w:code="1"/>
          <w:pgMar w:top="1080" w:right="893" w:bottom="1440" w:left="893" w:header="720" w:footer="720" w:gutter="0"/>
          <w:cols w:space="216"/>
          <w:docGrid w:linePitch="360"/>
        </w:sectPr>
      </w:pPr>
      <w:hyperlink r:id="rId10" w:history="1">
        <w:r w:rsidRPr="002E4FC7">
          <w:rPr>
            <w:rStyle w:val="Hyperlink"/>
            <w:sz w:val="18"/>
            <w:szCs w:val="18"/>
          </w:rPr>
          <w:t>https://doi.org/</w:t>
        </w:r>
        <w:r w:rsidR="009259F0" w:rsidRPr="002E4FC7">
          <w:rPr>
            <w:rStyle w:val="Hyperlink"/>
            <w:sz w:val="18"/>
            <w:szCs w:val="18"/>
          </w:rPr>
          <w:t>10.63962/ELDE7185</w:t>
        </w:r>
      </w:hyperlink>
    </w:p>
    <w:p w14:paraId="47091AAE" w14:textId="77777777" w:rsidR="003202C9" w:rsidRPr="00F847A6" w:rsidRDefault="003202C9" w:rsidP="0026569D">
      <w:pPr>
        <w:pStyle w:val="Author"/>
        <w:spacing w:before="100" w:beforeAutospacing="1"/>
        <w:jc w:val="both"/>
        <w:rPr>
          <w:sz w:val="16"/>
          <w:szCs w:val="16"/>
        </w:rPr>
        <w:sectPr w:rsidR="003202C9" w:rsidRPr="00F847A6" w:rsidSect="003202C9">
          <w:type w:val="continuous"/>
          <w:pgSz w:w="12240" w:h="15840" w:code="1"/>
          <w:pgMar w:top="1080" w:right="893" w:bottom="1440" w:left="893" w:header="720" w:footer="720" w:gutter="0"/>
          <w:cols w:space="216"/>
          <w:docGrid w:linePitch="360"/>
        </w:sectPr>
      </w:pPr>
    </w:p>
    <w:p w14:paraId="43515DC7" w14:textId="77777777" w:rsidR="003202C9" w:rsidRPr="00152080" w:rsidRDefault="003202C9" w:rsidP="0026569D">
      <w:pPr>
        <w:pStyle w:val="Abstract"/>
        <w:ind w:firstLine="0"/>
        <w:rPr>
          <w:lang w:val="en-AE"/>
        </w:rPr>
      </w:pPr>
      <w:r w:rsidRPr="00A679B2">
        <w:t>Abstract</w:t>
      </w:r>
      <w:r>
        <w:t>—</w:t>
      </w:r>
      <w:r w:rsidRPr="00804F11">
        <w:rPr>
          <w:lang w:val="en-AE"/>
        </w:rPr>
        <w:t xml:space="preserve"> </w:t>
      </w:r>
      <w:r w:rsidRPr="00152080">
        <w:rPr>
          <w:lang w:val="en-AE"/>
        </w:rPr>
        <w:t>Artificial intelligence (AI) is increasingly applied to enhance clinical decision-making and reduce unwarranted variability in healthcare delivery. In outpatient rehabilitation settings, physiotherapy referral decisions are frequently based on individual clinician judgment, which may lead to delayed intervention, inconsistent access to rehabilitation services, and inefficiencies in patient pathways. This paper presents a short conceptual framework proposing an AI-enabled clinical decision support system (CDSS) designed to support physiotherapy referral decisions using structured electronic medical record (EMR) data.</w:t>
      </w:r>
    </w:p>
    <w:p w14:paraId="23876998" w14:textId="77777777" w:rsidR="003202C9" w:rsidRPr="00152080" w:rsidRDefault="003202C9" w:rsidP="003202C9">
      <w:pPr>
        <w:pStyle w:val="Abstract"/>
        <w:rPr>
          <w:lang w:val="en-AE"/>
        </w:rPr>
      </w:pPr>
      <w:r w:rsidRPr="00152080">
        <w:rPr>
          <w:lang w:val="en-AE"/>
        </w:rPr>
        <w:t>The proposed framework integrates supervised machine learning models, explainable artificial intelligence mechanisms, enterprise-level deployment architecture, and a governance-aligned implementation strategy. Unlike a full experimental study, this work focuses on the conceptual design of an operational AI system, including the clinical workflow, methodological justification, and validation strategy required for real-world deployment. The framework aims to enhance referral consistency, improve operational efficiency, and support equitable access to rehabilitation services while preserving physician oversight and clinical governance. Future work will involve pilot implementation and empirical validation within outpatient rehabilitation settings.</w:t>
      </w:r>
    </w:p>
    <w:p w14:paraId="1CEABEF1" w14:textId="77777777" w:rsidR="003202C9" w:rsidRPr="00152080" w:rsidRDefault="003202C9" w:rsidP="003202C9">
      <w:pPr>
        <w:pStyle w:val="Abstract"/>
        <w:rPr>
          <w:lang w:val="en-AE"/>
        </w:rPr>
      </w:pPr>
      <w:r w:rsidRPr="00152080">
        <w:rPr>
          <w:lang w:val="en-AE"/>
        </w:rPr>
        <w:t>Keywords— Artificial Intelligence, Clinical Decision Support Systems, Physiotherapy Referral, Machine Learning, Healthcare Governance</w:t>
      </w:r>
    </w:p>
    <w:p w14:paraId="74ABEB67" w14:textId="77777777" w:rsidR="003202C9" w:rsidRPr="0028259E" w:rsidRDefault="003202C9" w:rsidP="003202C9">
      <w:pPr>
        <w:pStyle w:val="Keywords"/>
        <w:numPr>
          <w:ilvl w:val="0"/>
          <w:numId w:val="39"/>
        </w:numPr>
        <w:jc w:val="center"/>
        <w:rPr>
          <w:b w:val="0"/>
          <w:bCs w:val="0"/>
          <w:i w:val="0"/>
          <w:iCs/>
          <w:sz w:val="20"/>
          <w:szCs w:val="20"/>
          <w:lang w:val="en-AE"/>
        </w:rPr>
      </w:pPr>
      <w:r w:rsidRPr="0028259E">
        <w:rPr>
          <w:b w:val="0"/>
          <w:bCs w:val="0"/>
          <w:i w:val="0"/>
          <w:iCs/>
          <w:sz w:val="20"/>
          <w:szCs w:val="20"/>
          <w:lang w:val="en-AE"/>
        </w:rPr>
        <w:t>INTRODUCTION</w:t>
      </w:r>
    </w:p>
    <w:p w14:paraId="0272D60B" w14:textId="77777777" w:rsidR="003202C9" w:rsidRPr="00972C69" w:rsidRDefault="003202C9" w:rsidP="003202C9">
      <w:pPr>
        <w:spacing w:before="100" w:beforeAutospacing="1" w:after="100" w:afterAutospacing="1"/>
        <w:jc w:val="both"/>
        <w:rPr>
          <w:spacing w:val="-1"/>
          <w:lang w:val="en-AE" w:eastAsia="x-none"/>
        </w:rPr>
      </w:pPr>
      <w:r w:rsidRPr="00972C69">
        <w:rPr>
          <w:spacing w:val="-1"/>
          <w:lang w:val="en-AE" w:eastAsia="x-none"/>
        </w:rPr>
        <w:t xml:space="preserve">Artificial intelligence (AI) is transforming healthcare delivery by enabling data-driven decision support and improving the consistency of clinical practice. The increasing adoption of electronic medical records (EMRs) has created large volumes of structured clinical data that can be </w:t>
      </w:r>
      <w:proofErr w:type="spellStart"/>
      <w:r w:rsidRPr="00972C69">
        <w:rPr>
          <w:spacing w:val="-1"/>
          <w:lang w:val="en-AE" w:eastAsia="x-none"/>
        </w:rPr>
        <w:t>analyzed</w:t>
      </w:r>
      <w:proofErr w:type="spellEnd"/>
      <w:r w:rsidRPr="00972C69">
        <w:rPr>
          <w:rFonts w:eastAsia="Times New Roman"/>
          <w:lang w:val="en-AE" w:eastAsia="en-AE"/>
        </w:rPr>
        <w:t xml:space="preserve"> </w:t>
      </w:r>
      <w:r w:rsidRPr="00972C69">
        <w:rPr>
          <w:spacing w:val="-1"/>
          <w:lang w:val="en-AE" w:eastAsia="x-none"/>
        </w:rPr>
        <w:t>using machine learning (ML) methods to support clinical decision-making processes. AI-enabled clinical decision support systems (CDSS) are increasingly used to assist clinicians in risk prediction, triage prioritization, and treatment planning.</w:t>
      </w:r>
    </w:p>
    <w:p w14:paraId="0A8A0EC9" w14:textId="77777777" w:rsidR="003202C9" w:rsidRPr="00972C69" w:rsidRDefault="003202C9" w:rsidP="003202C9">
      <w:pPr>
        <w:spacing w:before="100" w:beforeAutospacing="1" w:after="100" w:afterAutospacing="1"/>
        <w:jc w:val="both"/>
        <w:rPr>
          <w:spacing w:val="-1"/>
          <w:lang w:val="en-AE" w:eastAsia="x-none"/>
        </w:rPr>
      </w:pPr>
      <w:r w:rsidRPr="00972C69">
        <w:rPr>
          <w:spacing w:val="-1"/>
          <w:lang w:val="en-AE" w:eastAsia="x-none"/>
        </w:rPr>
        <w:t xml:space="preserve">In outpatient rehabilitation services, physiotherapy referral decisions play a critical role in determining patient recovery </w:t>
      </w:r>
      <w:r w:rsidRPr="00972C69">
        <w:rPr>
          <w:spacing w:val="-1"/>
          <w:lang w:val="en-AE" w:eastAsia="x-none"/>
        </w:rPr>
        <w:t>trajectories and healthcare resource utilization. Early referral to physiotherapy can significantly improve functional outcomes, reduce chronic disability risk, and enhance patient satisfaction. However, referral decisions are often influenced by individual clinician experience, workload pressures, and variability in clinical interpretation. As a result, similar patients may receive different referral decisions across providers or clinical settings.</w:t>
      </w:r>
    </w:p>
    <w:p w14:paraId="6D65DDA1" w14:textId="77777777" w:rsidR="003202C9" w:rsidRPr="00972C69" w:rsidRDefault="003202C9" w:rsidP="003202C9">
      <w:pPr>
        <w:spacing w:before="100" w:beforeAutospacing="1" w:after="100" w:afterAutospacing="1"/>
        <w:jc w:val="both"/>
        <w:rPr>
          <w:spacing w:val="-1"/>
          <w:lang w:val="en-AE" w:eastAsia="x-none"/>
        </w:rPr>
      </w:pPr>
      <w:r w:rsidRPr="00972C69">
        <w:rPr>
          <w:spacing w:val="-1"/>
          <w:lang w:val="en-AE" w:eastAsia="x-none"/>
        </w:rPr>
        <w:t xml:space="preserve">The widespread adoption of EMR systems provides an opportunity to support referral decisions using predictive analytics. Machine learning models can </w:t>
      </w:r>
      <w:proofErr w:type="spellStart"/>
      <w:r w:rsidRPr="00972C69">
        <w:rPr>
          <w:spacing w:val="-1"/>
          <w:lang w:val="en-AE" w:eastAsia="x-none"/>
        </w:rPr>
        <w:t>analyze</w:t>
      </w:r>
      <w:proofErr w:type="spellEnd"/>
      <w:r w:rsidRPr="00972C69">
        <w:rPr>
          <w:spacing w:val="-1"/>
          <w:lang w:val="en-AE" w:eastAsia="x-none"/>
        </w:rPr>
        <w:t xml:space="preserve"> multidimensional patient data and identify patterns associated with successful physiotherapy intervention. By integrating these predictive insights within a CDSS framework, clinicians may receive structured decision support that complements clinical judgment.</w:t>
      </w:r>
    </w:p>
    <w:p w14:paraId="77F46B8D" w14:textId="77777777" w:rsidR="003202C9" w:rsidRPr="0028259E" w:rsidRDefault="003202C9" w:rsidP="003202C9">
      <w:pPr>
        <w:spacing w:before="100" w:beforeAutospacing="1" w:after="100" w:afterAutospacing="1"/>
        <w:jc w:val="both"/>
        <w:rPr>
          <w:spacing w:val="-1"/>
          <w:sz w:val="22"/>
          <w:szCs w:val="22"/>
          <w:lang w:eastAsia="x-none" w:bidi="ar-AE"/>
        </w:rPr>
      </w:pPr>
      <w:r w:rsidRPr="00972C69">
        <w:rPr>
          <w:spacing w:val="-1"/>
          <w:lang w:val="en-AE" w:eastAsia="x-none"/>
        </w:rPr>
        <w:t>This paper presents a short conceptual framework for an AI-enabled CDSS designed to support physiotherapy referral decisions in outpatient care.</w:t>
      </w:r>
      <w:r w:rsidRPr="00972C69">
        <w:rPr>
          <w:rFonts w:eastAsia="Times New Roman"/>
          <w:lang w:val="en-AE" w:eastAsia="en-AE"/>
        </w:rPr>
        <w:t xml:space="preserve"> </w:t>
      </w:r>
      <w:r w:rsidRPr="00972C69">
        <w:rPr>
          <w:spacing w:val="-1"/>
          <w:lang w:val="en-AE" w:eastAsia="x-none"/>
        </w:rPr>
        <w:t>Rather than presenting a full experimental implementation, the study focuses on system design, methodological justification, and practical considerations for real-world deployment. The framework integrates machine learning models, explainable AI mechanisms, enterprise deployment architecture, and governance-aligned implementation strategies to facilitate responsible AI adoption in clinical environments</w:t>
      </w:r>
      <w:r w:rsidRPr="00972C69">
        <w:rPr>
          <w:spacing w:val="-1"/>
          <w:lang w:eastAsia="x-none" w:bidi="ar-AE"/>
        </w:rPr>
        <w:t>.</w:t>
      </w:r>
    </w:p>
    <w:p w14:paraId="76CEFDE0" w14:textId="77777777" w:rsidR="003202C9" w:rsidRPr="0028259E" w:rsidRDefault="003202C9" w:rsidP="003202C9">
      <w:pPr>
        <w:pStyle w:val="Keywords"/>
        <w:jc w:val="center"/>
        <w:rPr>
          <w:sz w:val="20"/>
          <w:szCs w:val="20"/>
        </w:rPr>
      </w:pPr>
      <w:r w:rsidRPr="00785FB1">
        <w:rPr>
          <w:b w:val="0"/>
          <w:bCs w:val="0"/>
          <w:i w:val="0"/>
          <w:iCs/>
          <w:sz w:val="20"/>
          <w:szCs w:val="20"/>
        </w:rPr>
        <w:t>II. MAIN C</w:t>
      </w:r>
      <w:r w:rsidRPr="0028259E">
        <w:rPr>
          <w:b w:val="0"/>
          <w:bCs w:val="0"/>
          <w:i w:val="0"/>
          <w:iCs/>
          <w:sz w:val="20"/>
          <w:szCs w:val="20"/>
        </w:rPr>
        <w:t>ONTRIBUTION</w:t>
      </w:r>
    </w:p>
    <w:p w14:paraId="7DEE6BBD" w14:textId="77777777" w:rsidR="003202C9" w:rsidRPr="00972C69" w:rsidRDefault="003202C9" w:rsidP="003202C9">
      <w:pPr>
        <w:spacing w:before="100" w:beforeAutospacing="1" w:after="100" w:afterAutospacing="1"/>
        <w:jc w:val="both"/>
        <w:rPr>
          <w:spacing w:val="-1"/>
          <w:lang w:val="en-AE" w:eastAsia="x-none"/>
        </w:rPr>
      </w:pPr>
      <w:r w:rsidRPr="00972C69">
        <w:rPr>
          <w:spacing w:val="-1"/>
          <w:lang w:val="en-AE" w:eastAsia="x-none"/>
        </w:rPr>
        <w:t>The primary contribution of this study is the conceptualization of physiotherapy referral as a structured AI-supported clinical decision point within outpatient care. While previous research has applied machine learning to predict rehabilitation outcomes, relatively little work has focused on supporting the initial referral decision stage, where delayed or missed interventions often occur.</w:t>
      </w:r>
    </w:p>
    <w:p w14:paraId="3EA82B1F" w14:textId="77777777" w:rsidR="003202C9" w:rsidRPr="00972C69" w:rsidRDefault="003202C9" w:rsidP="003202C9">
      <w:pPr>
        <w:spacing w:before="100" w:beforeAutospacing="1" w:after="100" w:afterAutospacing="1"/>
        <w:jc w:val="both"/>
        <w:rPr>
          <w:spacing w:val="-1"/>
          <w:lang w:val="en-AE" w:eastAsia="x-none"/>
        </w:rPr>
      </w:pPr>
      <w:r w:rsidRPr="00972C69">
        <w:rPr>
          <w:spacing w:val="-1"/>
          <w:lang w:val="en-AE" w:eastAsia="x-none"/>
        </w:rPr>
        <w:lastRenderedPageBreak/>
        <w:t>The proposed framework integrates multiple components necessary for operational AI deployment in healthcare settings, including:</w:t>
      </w:r>
    </w:p>
    <w:p w14:paraId="548B08AC" w14:textId="77777777" w:rsidR="003202C9" w:rsidRPr="00972C69" w:rsidRDefault="003202C9" w:rsidP="003202C9">
      <w:pPr>
        <w:numPr>
          <w:ilvl w:val="0"/>
          <w:numId w:val="30"/>
        </w:numPr>
        <w:spacing w:before="100" w:beforeAutospacing="1" w:after="100" w:afterAutospacing="1"/>
        <w:jc w:val="both"/>
        <w:rPr>
          <w:spacing w:val="-1"/>
          <w:lang w:val="en-AE" w:eastAsia="x-none"/>
        </w:rPr>
      </w:pPr>
      <w:r w:rsidRPr="00972C69">
        <w:rPr>
          <w:spacing w:val="-1"/>
          <w:lang w:val="en-AE" w:eastAsia="x-none"/>
        </w:rPr>
        <w:t>Structured EMR-based feature extraction</w:t>
      </w:r>
    </w:p>
    <w:p w14:paraId="74D8821A" w14:textId="77777777" w:rsidR="003202C9" w:rsidRPr="00972C69" w:rsidRDefault="003202C9" w:rsidP="003202C9">
      <w:pPr>
        <w:numPr>
          <w:ilvl w:val="0"/>
          <w:numId w:val="30"/>
        </w:numPr>
        <w:spacing w:before="100" w:beforeAutospacing="1" w:after="100" w:afterAutospacing="1"/>
        <w:jc w:val="both"/>
        <w:rPr>
          <w:spacing w:val="-1"/>
          <w:lang w:val="en-AE" w:eastAsia="x-none"/>
        </w:rPr>
      </w:pPr>
      <w:r w:rsidRPr="00972C69">
        <w:rPr>
          <w:spacing w:val="-1"/>
          <w:lang w:val="en-AE" w:eastAsia="x-none"/>
        </w:rPr>
        <w:t>Supervised machine learning classification models</w:t>
      </w:r>
    </w:p>
    <w:p w14:paraId="3104148F" w14:textId="77777777" w:rsidR="003202C9" w:rsidRPr="00972C69" w:rsidRDefault="003202C9" w:rsidP="003202C9">
      <w:pPr>
        <w:numPr>
          <w:ilvl w:val="0"/>
          <w:numId w:val="30"/>
        </w:numPr>
        <w:spacing w:before="100" w:beforeAutospacing="1" w:after="100" w:afterAutospacing="1"/>
        <w:jc w:val="both"/>
        <w:rPr>
          <w:spacing w:val="-1"/>
          <w:lang w:val="en-AE" w:eastAsia="x-none"/>
        </w:rPr>
      </w:pPr>
      <w:r w:rsidRPr="00972C69">
        <w:rPr>
          <w:spacing w:val="-1"/>
          <w:lang w:val="en-AE" w:eastAsia="x-none"/>
        </w:rPr>
        <w:t>Explainable AI outputs for model transparency</w:t>
      </w:r>
    </w:p>
    <w:p w14:paraId="04958832" w14:textId="77777777" w:rsidR="003202C9" w:rsidRPr="00972C69" w:rsidRDefault="003202C9" w:rsidP="003202C9">
      <w:pPr>
        <w:numPr>
          <w:ilvl w:val="0"/>
          <w:numId w:val="30"/>
        </w:numPr>
        <w:spacing w:before="100" w:beforeAutospacing="1" w:after="100" w:afterAutospacing="1"/>
        <w:jc w:val="both"/>
        <w:rPr>
          <w:spacing w:val="-1"/>
          <w:lang w:val="en-AE" w:eastAsia="x-none"/>
        </w:rPr>
      </w:pPr>
      <w:r w:rsidRPr="00972C69">
        <w:rPr>
          <w:spacing w:val="-1"/>
          <w:lang w:val="en-AE" w:eastAsia="x-none"/>
        </w:rPr>
        <w:t>Enterprise deployment infrastructure</w:t>
      </w:r>
    </w:p>
    <w:p w14:paraId="77969C42" w14:textId="77777777" w:rsidR="003202C9" w:rsidRPr="00972C69" w:rsidRDefault="003202C9" w:rsidP="003202C9">
      <w:pPr>
        <w:numPr>
          <w:ilvl w:val="0"/>
          <w:numId w:val="30"/>
        </w:numPr>
        <w:spacing w:before="100" w:beforeAutospacing="1" w:after="100" w:afterAutospacing="1"/>
        <w:jc w:val="both"/>
        <w:rPr>
          <w:spacing w:val="-1"/>
          <w:lang w:val="en-AE" w:eastAsia="x-none"/>
        </w:rPr>
      </w:pPr>
      <w:r w:rsidRPr="00972C69">
        <w:rPr>
          <w:spacing w:val="-1"/>
          <w:lang w:val="en-AE" w:eastAsia="x-none"/>
        </w:rPr>
        <w:t>Governance-aligned implementation roadmap</w:t>
      </w:r>
    </w:p>
    <w:p w14:paraId="67F595B9" w14:textId="77777777" w:rsidR="003202C9" w:rsidRPr="00972C69" w:rsidRDefault="003202C9" w:rsidP="003202C9">
      <w:pPr>
        <w:spacing w:before="100" w:beforeAutospacing="1" w:after="100" w:afterAutospacing="1"/>
        <w:jc w:val="both"/>
        <w:rPr>
          <w:spacing w:val="-1"/>
          <w:lang w:val="en-AE" w:eastAsia="x-none"/>
        </w:rPr>
      </w:pPr>
      <w:r w:rsidRPr="00972C69">
        <w:rPr>
          <w:spacing w:val="-1"/>
          <w:lang w:val="en-AE" w:eastAsia="x-none"/>
        </w:rPr>
        <w:t xml:space="preserve">By combining technical machine learning </w:t>
      </w:r>
      <w:proofErr w:type="spellStart"/>
      <w:r w:rsidRPr="00972C69">
        <w:rPr>
          <w:spacing w:val="-1"/>
          <w:lang w:val="en-AE" w:eastAsia="x-none"/>
        </w:rPr>
        <w:t>modeling</w:t>
      </w:r>
      <w:proofErr w:type="spellEnd"/>
      <w:r w:rsidRPr="00972C69">
        <w:rPr>
          <w:spacing w:val="-1"/>
          <w:lang w:val="en-AE" w:eastAsia="x-none"/>
        </w:rPr>
        <w:t xml:space="preserve"> with implementation and governance considerations, the framework bridges the gap between predictive analytics research and practical clinical deployment.</w:t>
      </w:r>
    </w:p>
    <w:p w14:paraId="537DBCE3" w14:textId="77777777" w:rsidR="003202C9" w:rsidRPr="00972C69" w:rsidRDefault="003202C9" w:rsidP="003202C9">
      <w:pPr>
        <w:spacing w:before="100" w:beforeAutospacing="1" w:after="100" w:afterAutospacing="1"/>
        <w:jc w:val="both"/>
        <w:rPr>
          <w:spacing w:val="-1"/>
          <w:lang w:val="en-AE" w:eastAsia="x-none"/>
        </w:rPr>
      </w:pPr>
      <w:r w:rsidRPr="00972C69">
        <w:rPr>
          <w:spacing w:val="-1"/>
          <w:lang w:val="en-AE" w:eastAsia="x-none"/>
        </w:rPr>
        <w:t>This contribution provides a practical pathway for integrating machine learning into real-world outpatient referral workflows while maintaining clinical governance, transparency, and physician oversight.</w:t>
      </w:r>
    </w:p>
    <w:p w14:paraId="19C432C6" w14:textId="77777777" w:rsidR="003202C9" w:rsidRPr="00972C69" w:rsidRDefault="003202C9" w:rsidP="003202C9">
      <w:pPr>
        <w:pStyle w:val="Keywords"/>
        <w:jc w:val="center"/>
        <w:rPr>
          <w:b w:val="0"/>
          <w:bCs w:val="0"/>
          <w:i w:val="0"/>
          <w:iCs/>
          <w:sz w:val="20"/>
          <w:szCs w:val="20"/>
        </w:rPr>
      </w:pPr>
      <w:r w:rsidRPr="00972C69">
        <w:rPr>
          <w:b w:val="0"/>
          <w:bCs w:val="0"/>
          <w:i w:val="0"/>
          <w:iCs/>
          <w:sz w:val="20"/>
          <w:szCs w:val="20"/>
        </w:rPr>
        <w:t>III. PROBLEM CONTEXT AND RELATED WORK</w:t>
      </w:r>
    </w:p>
    <w:p w14:paraId="16DC9566"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Variability in physiotherapy referral practices has been widely reported in outpatient care. Physicians managing patients with similar musculoskeletal conditions may reach different referral decisions due to differences in clinical experience, time constraints, or implicit biases. Such variability may lead to delayed rehabilitation, underutilization of physiotherapy services, and inequitable patient access to care.</w:t>
      </w:r>
    </w:p>
    <w:p w14:paraId="275C17C3"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Recent studies have explored the use of machine learning techniques in rehabilitation medicine. Several predictive models have been developed to estimate treatment outcomes, rehabilitation duration, and return-to-work probability for patients with musculoskeletal disorders. Tree-based algorithms, including Random Forest and gradient boosting methods, have demonstrated strong predictive performance when applied to structured healthcare datasets.</w:t>
      </w:r>
    </w:p>
    <w:p w14:paraId="1308660A"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AI-enabled clinical decision support systems have also shown potential to improve consistency in healthcare decision-making processes. In emergency medicine and hospital triage systems, machine learning models have been used to support risk stratification and clinical prioritization decisions.</w:t>
      </w:r>
    </w:p>
    <w:p w14:paraId="443F4B13"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 xml:space="preserve">However, most existing research focuses primarily on predicting rehabilitation outcomes </w:t>
      </w:r>
      <w:r w:rsidRPr="00972C69">
        <w:rPr>
          <w:rFonts w:eastAsia="Times New Roman"/>
          <w:b/>
          <w:bCs/>
          <w:lang w:val="en-AE" w:eastAsia="en-AE"/>
        </w:rPr>
        <w:t>after treatment has already been initiated</w:t>
      </w:r>
      <w:r w:rsidRPr="00972C69">
        <w:rPr>
          <w:rFonts w:eastAsia="Times New Roman"/>
          <w:lang w:val="en-AE" w:eastAsia="en-AE"/>
        </w:rPr>
        <w:t>. The upstream decision of whether a patient should be referred to physiotherapy in the first place remains largely unsupported by AI-based systems. Furthermore, many predictive models emphasize algorithmic accuracy without addressing critical issues such as workflow integration, explainability, and governance alignment.</w:t>
      </w:r>
    </w:p>
    <w:p w14:paraId="09095B52" w14:textId="2361717C" w:rsidR="003202C9" w:rsidRPr="00972C69" w:rsidRDefault="003202C9" w:rsidP="003202C9">
      <w:pPr>
        <w:spacing w:before="100" w:beforeAutospacing="1" w:after="100" w:afterAutospacing="1"/>
        <w:jc w:val="both"/>
        <w:rPr>
          <w:rFonts w:eastAsia="Times New Roman"/>
          <w:rtl/>
          <w:lang w:val="en-AE" w:eastAsia="en-AE"/>
        </w:rPr>
      </w:pPr>
      <w:r w:rsidRPr="00972C69">
        <w:rPr>
          <w:rFonts w:eastAsia="Times New Roman"/>
          <w:lang w:val="en-AE" w:eastAsia="en-AE"/>
        </w:rPr>
        <w:t>The framework proposed in this study addresses this gap by focusing specifically on physiotherapy referral decisions and by integrating machine learning predictions within a structured clinical decision support architecture designed for real-world implementation.</w:t>
      </w:r>
    </w:p>
    <w:p w14:paraId="47010C1D" w14:textId="77777777" w:rsidR="003202C9" w:rsidRPr="00972C69" w:rsidRDefault="003202C9" w:rsidP="003202C9">
      <w:pPr>
        <w:pStyle w:val="Keywords"/>
        <w:jc w:val="center"/>
        <w:rPr>
          <w:b w:val="0"/>
          <w:bCs w:val="0"/>
          <w:i w:val="0"/>
          <w:iCs/>
          <w:smallCaps/>
          <w:sz w:val="20"/>
          <w:szCs w:val="20"/>
        </w:rPr>
      </w:pPr>
      <w:r w:rsidRPr="00972C69">
        <w:rPr>
          <w:b w:val="0"/>
          <w:bCs w:val="0"/>
          <w:i w:val="0"/>
          <w:iCs/>
          <w:sz w:val="20"/>
          <w:szCs w:val="20"/>
        </w:rPr>
        <w:t>IV.PROPOSED AI FRAMEWORK</w:t>
      </w:r>
    </w:p>
    <w:p w14:paraId="0E3A9EA3" w14:textId="77777777" w:rsidR="003202C9" w:rsidRPr="00972C69" w:rsidRDefault="003202C9" w:rsidP="003202C9">
      <w:pPr>
        <w:spacing w:before="100" w:beforeAutospacing="1" w:after="100" w:afterAutospacing="1"/>
        <w:jc w:val="both"/>
        <w:outlineLvl w:val="1"/>
        <w:rPr>
          <w:rFonts w:eastAsia="Times New Roman"/>
          <w:b/>
          <w:bCs/>
          <w:lang w:val="en-AE" w:eastAsia="en-AE"/>
        </w:rPr>
      </w:pPr>
      <w:r w:rsidRPr="00972C69">
        <w:rPr>
          <w:rFonts w:eastAsia="Times New Roman"/>
          <w:b/>
          <w:bCs/>
          <w:lang w:val="en-AE" w:eastAsia="en-AE"/>
        </w:rPr>
        <w:t>A. Data Inputs</w:t>
      </w:r>
    </w:p>
    <w:p w14:paraId="79E48E7B"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The proposed framework utilizes structured EMR variables commonly available during outpatient consultations. These variables include:</w:t>
      </w:r>
    </w:p>
    <w:p w14:paraId="503AF886" w14:textId="77777777" w:rsidR="003202C9" w:rsidRPr="00972C69" w:rsidRDefault="003202C9" w:rsidP="003202C9">
      <w:pPr>
        <w:numPr>
          <w:ilvl w:val="0"/>
          <w:numId w:val="31"/>
        </w:numPr>
        <w:spacing w:before="100" w:beforeAutospacing="1" w:after="100" w:afterAutospacing="1"/>
        <w:jc w:val="both"/>
        <w:rPr>
          <w:rFonts w:eastAsia="Times New Roman"/>
          <w:lang w:val="en-AE" w:eastAsia="en-AE"/>
        </w:rPr>
      </w:pPr>
      <w:r w:rsidRPr="00972C69">
        <w:rPr>
          <w:rFonts w:eastAsia="Times New Roman"/>
          <w:lang w:val="en-AE" w:eastAsia="en-AE"/>
        </w:rPr>
        <w:t>ICD-10 diagnostic codes</w:t>
      </w:r>
    </w:p>
    <w:p w14:paraId="015CFFA1" w14:textId="77777777" w:rsidR="003202C9" w:rsidRPr="00972C69" w:rsidRDefault="003202C9" w:rsidP="003202C9">
      <w:pPr>
        <w:numPr>
          <w:ilvl w:val="0"/>
          <w:numId w:val="31"/>
        </w:numPr>
        <w:spacing w:before="100" w:beforeAutospacing="1" w:after="100" w:afterAutospacing="1"/>
        <w:jc w:val="both"/>
        <w:rPr>
          <w:rFonts w:eastAsia="Times New Roman"/>
          <w:lang w:val="en-AE" w:eastAsia="en-AE"/>
        </w:rPr>
      </w:pPr>
      <w:r w:rsidRPr="00972C69">
        <w:rPr>
          <w:rFonts w:eastAsia="Times New Roman"/>
          <w:lang w:val="en-AE" w:eastAsia="en-AE"/>
        </w:rPr>
        <w:t>Pain severity scores</w:t>
      </w:r>
    </w:p>
    <w:p w14:paraId="67C779E2" w14:textId="77777777" w:rsidR="003202C9" w:rsidRPr="00972C69" w:rsidRDefault="003202C9" w:rsidP="003202C9">
      <w:pPr>
        <w:numPr>
          <w:ilvl w:val="0"/>
          <w:numId w:val="31"/>
        </w:numPr>
        <w:spacing w:before="100" w:beforeAutospacing="1" w:after="100" w:afterAutospacing="1"/>
        <w:jc w:val="both"/>
        <w:rPr>
          <w:rFonts w:eastAsia="Times New Roman"/>
          <w:lang w:val="en-AE" w:eastAsia="en-AE"/>
        </w:rPr>
      </w:pPr>
      <w:r w:rsidRPr="00972C69">
        <w:rPr>
          <w:rFonts w:eastAsia="Times New Roman"/>
          <w:lang w:val="en-AE" w:eastAsia="en-AE"/>
        </w:rPr>
        <w:t>Functional mobility assessments</w:t>
      </w:r>
    </w:p>
    <w:p w14:paraId="6A9BCE5C" w14:textId="77777777" w:rsidR="003202C9" w:rsidRPr="00972C69" w:rsidRDefault="003202C9" w:rsidP="003202C9">
      <w:pPr>
        <w:numPr>
          <w:ilvl w:val="0"/>
          <w:numId w:val="31"/>
        </w:numPr>
        <w:spacing w:before="100" w:beforeAutospacing="1" w:after="100" w:afterAutospacing="1"/>
        <w:jc w:val="both"/>
        <w:rPr>
          <w:rFonts w:eastAsia="Times New Roman"/>
          <w:lang w:val="en-AE" w:eastAsia="en-AE"/>
        </w:rPr>
      </w:pPr>
      <w:r w:rsidRPr="00972C69">
        <w:rPr>
          <w:rFonts w:eastAsia="Times New Roman"/>
          <w:lang w:val="en-AE" w:eastAsia="en-AE"/>
        </w:rPr>
        <w:t>Post-operative status</w:t>
      </w:r>
    </w:p>
    <w:p w14:paraId="76487D01" w14:textId="77777777" w:rsidR="003202C9" w:rsidRPr="00972C69" w:rsidRDefault="003202C9" w:rsidP="003202C9">
      <w:pPr>
        <w:numPr>
          <w:ilvl w:val="0"/>
          <w:numId w:val="31"/>
        </w:numPr>
        <w:spacing w:before="100" w:beforeAutospacing="1" w:after="100" w:afterAutospacing="1"/>
        <w:jc w:val="both"/>
        <w:rPr>
          <w:rFonts w:eastAsia="Times New Roman"/>
          <w:lang w:val="en-AE" w:eastAsia="en-AE"/>
        </w:rPr>
      </w:pPr>
      <w:r w:rsidRPr="00972C69">
        <w:rPr>
          <w:rFonts w:eastAsia="Times New Roman"/>
          <w:lang w:val="en-AE" w:eastAsia="en-AE"/>
        </w:rPr>
        <w:t>Comorbidity burden</w:t>
      </w:r>
    </w:p>
    <w:p w14:paraId="55F08A8B" w14:textId="77777777" w:rsidR="003202C9" w:rsidRPr="00972C69" w:rsidRDefault="003202C9" w:rsidP="003202C9">
      <w:pPr>
        <w:numPr>
          <w:ilvl w:val="0"/>
          <w:numId w:val="31"/>
        </w:numPr>
        <w:spacing w:before="100" w:beforeAutospacing="1" w:after="100" w:afterAutospacing="1"/>
        <w:jc w:val="both"/>
        <w:rPr>
          <w:rFonts w:eastAsia="Times New Roman"/>
          <w:lang w:val="en-AE" w:eastAsia="en-AE"/>
        </w:rPr>
      </w:pPr>
      <w:r w:rsidRPr="00972C69">
        <w:rPr>
          <w:rFonts w:eastAsia="Times New Roman"/>
          <w:lang w:val="en-AE" w:eastAsia="en-AE"/>
        </w:rPr>
        <w:t>Age category</w:t>
      </w:r>
    </w:p>
    <w:p w14:paraId="07FFE804" w14:textId="77777777" w:rsidR="003202C9" w:rsidRPr="00972C69" w:rsidRDefault="003202C9" w:rsidP="003202C9">
      <w:pPr>
        <w:numPr>
          <w:ilvl w:val="0"/>
          <w:numId w:val="31"/>
        </w:numPr>
        <w:spacing w:before="100" w:beforeAutospacing="1" w:after="100" w:afterAutospacing="1"/>
        <w:jc w:val="both"/>
        <w:rPr>
          <w:rFonts w:eastAsia="Times New Roman"/>
          <w:lang w:val="en-AE" w:eastAsia="en-AE"/>
        </w:rPr>
      </w:pPr>
      <w:r w:rsidRPr="00972C69">
        <w:rPr>
          <w:rFonts w:eastAsia="Times New Roman"/>
          <w:lang w:val="en-AE" w:eastAsia="en-AE"/>
        </w:rPr>
        <w:t>Body Mass Index (BMI)</w:t>
      </w:r>
    </w:p>
    <w:p w14:paraId="7F749C0B" w14:textId="77777777" w:rsidR="003202C9" w:rsidRPr="00972C69" w:rsidRDefault="003202C9" w:rsidP="003202C9">
      <w:pPr>
        <w:numPr>
          <w:ilvl w:val="0"/>
          <w:numId w:val="31"/>
        </w:numPr>
        <w:spacing w:before="100" w:beforeAutospacing="1" w:after="100" w:afterAutospacing="1"/>
        <w:jc w:val="both"/>
        <w:rPr>
          <w:rFonts w:eastAsia="Times New Roman"/>
          <w:lang w:val="en-AE" w:eastAsia="en-AE"/>
        </w:rPr>
      </w:pPr>
      <w:r w:rsidRPr="00972C69">
        <w:rPr>
          <w:rFonts w:eastAsia="Times New Roman"/>
          <w:lang w:val="en-AE" w:eastAsia="en-AE"/>
        </w:rPr>
        <w:t>Prior physiotherapy utilization</w:t>
      </w:r>
    </w:p>
    <w:p w14:paraId="379353D9" w14:textId="77777777" w:rsidR="003202C9" w:rsidRPr="004E1D5E"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These clinical variables provide a multidimensional representation of patient health status and rehabilitation needs.</w:t>
      </w:r>
    </w:p>
    <w:p w14:paraId="2A047D6E" w14:textId="77777777" w:rsidR="003202C9" w:rsidRPr="00972C69" w:rsidRDefault="003202C9" w:rsidP="003202C9">
      <w:pPr>
        <w:pStyle w:val="NormalWeb"/>
        <w:jc w:val="both"/>
        <w:rPr>
          <w:b/>
          <w:bCs/>
          <w:sz w:val="20"/>
          <w:szCs w:val="20"/>
          <w:lang w:val="en-AE"/>
        </w:rPr>
      </w:pPr>
      <w:r w:rsidRPr="00972C69">
        <w:rPr>
          <w:b/>
          <w:bCs/>
          <w:sz w:val="20"/>
          <w:szCs w:val="20"/>
          <w:lang w:val="en-AE"/>
        </w:rPr>
        <w:t>B. System Workflow</w:t>
      </w:r>
    </w:p>
    <w:p w14:paraId="094CB763"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The operational pipeline of the proposed system consists of six stages:</w:t>
      </w:r>
    </w:p>
    <w:p w14:paraId="5F23FCF2" w14:textId="77777777" w:rsidR="003202C9" w:rsidRPr="00972C69" w:rsidRDefault="003202C9" w:rsidP="003202C9">
      <w:pPr>
        <w:numPr>
          <w:ilvl w:val="0"/>
          <w:numId w:val="32"/>
        </w:numPr>
        <w:spacing w:before="100" w:beforeAutospacing="1" w:after="100" w:afterAutospacing="1"/>
        <w:jc w:val="both"/>
        <w:rPr>
          <w:rFonts w:eastAsia="Times New Roman"/>
          <w:lang w:val="en-AE" w:eastAsia="en-AE"/>
        </w:rPr>
      </w:pPr>
      <w:r w:rsidRPr="00972C69">
        <w:rPr>
          <w:rFonts w:eastAsia="Times New Roman"/>
          <w:lang w:val="en-AE" w:eastAsia="en-AE"/>
        </w:rPr>
        <w:t>EMR data extraction using HL7/FHIR interoperability standards</w:t>
      </w:r>
    </w:p>
    <w:p w14:paraId="02ABC1A9" w14:textId="77777777" w:rsidR="003202C9" w:rsidRPr="00972C69" w:rsidRDefault="003202C9" w:rsidP="003202C9">
      <w:pPr>
        <w:numPr>
          <w:ilvl w:val="0"/>
          <w:numId w:val="32"/>
        </w:numPr>
        <w:spacing w:before="100" w:beforeAutospacing="1" w:after="100" w:afterAutospacing="1"/>
        <w:jc w:val="both"/>
        <w:rPr>
          <w:rFonts w:eastAsia="Times New Roman"/>
          <w:lang w:val="en-AE" w:eastAsia="en-AE"/>
        </w:rPr>
      </w:pPr>
      <w:r w:rsidRPr="00972C69">
        <w:rPr>
          <w:rFonts w:eastAsia="Times New Roman"/>
          <w:lang w:val="en-AE" w:eastAsia="en-AE"/>
        </w:rPr>
        <w:t>Data preprocessing and feature engineering</w:t>
      </w:r>
    </w:p>
    <w:p w14:paraId="12311989" w14:textId="77777777" w:rsidR="003202C9" w:rsidRPr="00972C69" w:rsidRDefault="003202C9" w:rsidP="003202C9">
      <w:pPr>
        <w:numPr>
          <w:ilvl w:val="0"/>
          <w:numId w:val="32"/>
        </w:numPr>
        <w:spacing w:before="100" w:beforeAutospacing="1" w:after="100" w:afterAutospacing="1"/>
        <w:jc w:val="both"/>
        <w:rPr>
          <w:rFonts w:eastAsia="Times New Roman"/>
          <w:lang w:val="en-AE" w:eastAsia="en-AE"/>
        </w:rPr>
      </w:pPr>
      <w:r w:rsidRPr="00972C69">
        <w:rPr>
          <w:rFonts w:eastAsia="Times New Roman"/>
          <w:lang w:val="en-AE" w:eastAsia="en-AE"/>
        </w:rPr>
        <w:t>Supervised machine learning inference</w:t>
      </w:r>
    </w:p>
    <w:p w14:paraId="00AD4589" w14:textId="77777777" w:rsidR="003202C9" w:rsidRPr="00972C69" w:rsidRDefault="003202C9" w:rsidP="003202C9">
      <w:pPr>
        <w:numPr>
          <w:ilvl w:val="0"/>
          <w:numId w:val="32"/>
        </w:numPr>
        <w:spacing w:before="100" w:beforeAutospacing="1" w:after="100" w:afterAutospacing="1"/>
        <w:jc w:val="both"/>
        <w:rPr>
          <w:rFonts w:eastAsia="Times New Roman"/>
          <w:lang w:val="en-AE" w:eastAsia="en-AE"/>
        </w:rPr>
      </w:pPr>
      <w:r w:rsidRPr="00972C69">
        <w:rPr>
          <w:rFonts w:eastAsia="Times New Roman"/>
          <w:lang w:val="en-AE" w:eastAsia="en-AE"/>
        </w:rPr>
        <w:t>Generation of physiotherapy referral probability</w:t>
      </w:r>
    </w:p>
    <w:p w14:paraId="12515C0F" w14:textId="77777777" w:rsidR="003202C9" w:rsidRPr="00972C69" w:rsidRDefault="003202C9" w:rsidP="003202C9">
      <w:pPr>
        <w:numPr>
          <w:ilvl w:val="0"/>
          <w:numId w:val="32"/>
        </w:numPr>
        <w:spacing w:before="100" w:beforeAutospacing="1" w:after="100" w:afterAutospacing="1"/>
        <w:jc w:val="both"/>
        <w:rPr>
          <w:rFonts w:eastAsia="Times New Roman"/>
          <w:lang w:val="en-AE" w:eastAsia="en-AE"/>
        </w:rPr>
      </w:pPr>
      <w:r w:rsidRPr="00972C69">
        <w:rPr>
          <w:rFonts w:eastAsia="Times New Roman"/>
          <w:lang w:val="en-AE" w:eastAsia="en-AE"/>
        </w:rPr>
        <w:t>Explainable AI output highlighting key contributing features</w:t>
      </w:r>
    </w:p>
    <w:p w14:paraId="56456345" w14:textId="77777777" w:rsidR="003202C9" w:rsidRPr="00972C69" w:rsidRDefault="003202C9" w:rsidP="003202C9">
      <w:pPr>
        <w:numPr>
          <w:ilvl w:val="0"/>
          <w:numId w:val="32"/>
        </w:numPr>
        <w:spacing w:before="100" w:beforeAutospacing="1" w:after="100" w:afterAutospacing="1"/>
        <w:jc w:val="both"/>
        <w:rPr>
          <w:rFonts w:eastAsia="Times New Roman"/>
          <w:lang w:val="en-AE" w:eastAsia="en-AE"/>
        </w:rPr>
      </w:pPr>
      <w:r w:rsidRPr="00972C69">
        <w:rPr>
          <w:rFonts w:eastAsia="Times New Roman"/>
          <w:lang w:val="en-AE" w:eastAsia="en-AE"/>
        </w:rPr>
        <w:t>Physician review and final referral decision documentation</w:t>
      </w:r>
    </w:p>
    <w:p w14:paraId="3EFE3FC5"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The system produces a binary recommendation (“Refer” or “No Refer”) accompanied by a confidence probability score. Importantly, the recommendation is advisory rather than autonomous, ensuring that clinicians maintain full authority over the final referral decision.</w:t>
      </w:r>
    </w:p>
    <w:p w14:paraId="3AE147BA" w14:textId="77777777" w:rsidR="003202C9" w:rsidRPr="00972C69" w:rsidRDefault="003202C9" w:rsidP="003202C9">
      <w:pPr>
        <w:pStyle w:val="NormalWeb"/>
        <w:jc w:val="both"/>
        <w:rPr>
          <w:b/>
          <w:bCs/>
          <w:sz w:val="20"/>
          <w:szCs w:val="20"/>
          <w:lang w:val="en-AE"/>
        </w:rPr>
      </w:pPr>
      <w:r w:rsidRPr="00972C69">
        <w:rPr>
          <w:b/>
          <w:bCs/>
          <w:sz w:val="20"/>
          <w:szCs w:val="20"/>
          <w:lang w:val="en-AE"/>
        </w:rPr>
        <w:t>C. Framework Diagram Explanation</w:t>
      </w:r>
    </w:p>
    <w:p w14:paraId="6F897845"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 xml:space="preserve">The framework diagram illustrates the end-to-end transformation of structured patient data into a probabilistic physiotherapy referral recommendation. Clinical variables extracted from the EMR are first processed through </w:t>
      </w:r>
      <w:r w:rsidRPr="00972C69">
        <w:rPr>
          <w:rFonts w:eastAsia="Times New Roman"/>
          <w:lang w:val="en-AE" w:eastAsia="en-AE"/>
        </w:rPr>
        <w:lastRenderedPageBreak/>
        <w:t xml:space="preserve">preprocessing and feature engineering modules before being </w:t>
      </w:r>
      <w:proofErr w:type="spellStart"/>
      <w:r w:rsidRPr="00972C69">
        <w:rPr>
          <w:rFonts w:eastAsia="Times New Roman"/>
          <w:lang w:val="en-AE" w:eastAsia="en-AE"/>
        </w:rPr>
        <w:t>analyzed</w:t>
      </w:r>
      <w:proofErr w:type="spellEnd"/>
      <w:r w:rsidRPr="00972C69">
        <w:rPr>
          <w:rFonts w:eastAsia="Times New Roman"/>
          <w:lang w:val="en-AE" w:eastAsia="en-AE"/>
        </w:rPr>
        <w:t xml:space="preserve"> by supervised machine learning models.</w:t>
      </w:r>
    </w:p>
    <w:p w14:paraId="07D7D6C5"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The generated referral probability is accompanied by explainable AI outputs that highlight the key factors contributing to the recommendation. These explanations improve transparency and support clinician trust in the system.</w:t>
      </w:r>
    </w:p>
    <w:p w14:paraId="7E570606"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The AI output functions as a decision support tool rather than an automated decision-maker. Physicians review the recommendation and retain full authority over the final referral decision. The feedback loop enables continuous monitoring of model performance and supports ongoing model refinement.</w:t>
      </w:r>
    </w:p>
    <w:p w14:paraId="6B8F18CD" w14:textId="77777777" w:rsidR="003202C9" w:rsidRPr="00972C69" w:rsidRDefault="003202C9" w:rsidP="003202C9">
      <w:pPr>
        <w:pStyle w:val="NormalWeb"/>
        <w:jc w:val="both"/>
        <w:rPr>
          <w:b/>
          <w:bCs/>
          <w:sz w:val="20"/>
          <w:szCs w:val="20"/>
          <w:lang w:val="en-AE"/>
        </w:rPr>
      </w:pPr>
      <w:r w:rsidRPr="00972C69">
        <w:rPr>
          <w:b/>
          <w:bCs/>
          <w:sz w:val="20"/>
          <w:szCs w:val="20"/>
          <w:lang w:val="en-AE"/>
        </w:rPr>
        <w:t>Fig. 1. AI-Enabled Physiotherapy Referral Framework.</w:t>
      </w:r>
    </w:p>
    <w:p w14:paraId="6BB75DCA" w14:textId="77777777" w:rsidR="003202C9" w:rsidRPr="00972C69" w:rsidRDefault="003202C9" w:rsidP="003202C9">
      <w:pPr>
        <w:pStyle w:val="NormalWeb"/>
        <w:jc w:val="both"/>
        <w:rPr>
          <w:b/>
          <w:bCs/>
          <w:sz w:val="20"/>
          <w:szCs w:val="20"/>
          <w:lang w:val="en-AE"/>
        </w:rPr>
      </w:pPr>
    </w:p>
    <w:p w14:paraId="74960F2F" w14:textId="77777777" w:rsidR="003202C9" w:rsidRPr="00972C69" w:rsidRDefault="003202C9" w:rsidP="003202C9">
      <w:pPr>
        <w:pStyle w:val="NormalWeb"/>
        <w:jc w:val="both"/>
        <w:rPr>
          <w:sz w:val="20"/>
          <w:szCs w:val="20"/>
          <w:lang w:val="en-AE"/>
        </w:rPr>
      </w:pPr>
      <w:r w:rsidRPr="00972C69">
        <w:rPr>
          <w:noProof/>
          <w:sz w:val="20"/>
          <w:szCs w:val="20"/>
          <w:lang w:val="en-AE"/>
        </w:rPr>
        <w:drawing>
          <wp:inline distT="0" distB="0" distL="0" distR="0" wp14:anchorId="648BA651" wp14:editId="5C786E2E">
            <wp:extent cx="2730640" cy="2940201"/>
            <wp:effectExtent l="0" t="0" r="0" b="0"/>
            <wp:docPr id="303646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6650" name=""/>
                    <pic:cNvPicPr/>
                  </pic:nvPicPr>
                  <pic:blipFill>
                    <a:blip r:embed="rId11"/>
                    <a:stretch>
                      <a:fillRect/>
                    </a:stretch>
                  </pic:blipFill>
                  <pic:spPr>
                    <a:xfrm>
                      <a:off x="0" y="0"/>
                      <a:ext cx="2730640" cy="2940201"/>
                    </a:xfrm>
                    <a:prstGeom prst="rect">
                      <a:avLst/>
                    </a:prstGeom>
                  </pic:spPr>
                </pic:pic>
              </a:graphicData>
            </a:graphic>
          </wp:inline>
        </w:drawing>
      </w:r>
    </w:p>
    <w:p w14:paraId="3BD16134" w14:textId="77777777" w:rsidR="003202C9" w:rsidRPr="00972C69" w:rsidRDefault="003202C9" w:rsidP="003202C9">
      <w:pPr>
        <w:pStyle w:val="NormalWeb"/>
        <w:jc w:val="both"/>
        <w:rPr>
          <w:sz w:val="20"/>
          <w:szCs w:val="20"/>
          <w:lang w:val="en-AE"/>
        </w:rPr>
      </w:pPr>
    </w:p>
    <w:p w14:paraId="6A8AEDB7" w14:textId="77777777" w:rsidR="003202C9" w:rsidRPr="00972C69" w:rsidRDefault="003202C9" w:rsidP="003202C9">
      <w:pPr>
        <w:pStyle w:val="Keywords"/>
        <w:jc w:val="center"/>
        <w:rPr>
          <w:b w:val="0"/>
          <w:bCs w:val="0"/>
          <w:i w:val="0"/>
          <w:iCs/>
          <w:sz w:val="20"/>
          <w:szCs w:val="20"/>
        </w:rPr>
      </w:pPr>
      <w:r w:rsidRPr="00972C69">
        <w:rPr>
          <w:b w:val="0"/>
          <w:bCs w:val="0"/>
          <w:i w:val="0"/>
          <w:iCs/>
          <w:sz w:val="20"/>
          <w:szCs w:val="20"/>
        </w:rPr>
        <w:t>V. METHODOLOGICAL JUSTIFICATION</w:t>
      </w:r>
    </w:p>
    <w:p w14:paraId="6ECE7FE9"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 xml:space="preserve">Two machine learning techniques were selected for the proposed framework: Random Forest and </w:t>
      </w:r>
      <w:proofErr w:type="spellStart"/>
      <w:r w:rsidRPr="00972C69">
        <w:rPr>
          <w:rFonts w:eastAsia="Times New Roman"/>
          <w:lang w:val="en-AE" w:eastAsia="en-AE"/>
        </w:rPr>
        <w:t>XGBoost</w:t>
      </w:r>
      <w:proofErr w:type="spellEnd"/>
      <w:r w:rsidRPr="00972C69">
        <w:rPr>
          <w:rFonts w:eastAsia="Times New Roman"/>
          <w:lang w:val="en-AE" w:eastAsia="en-AE"/>
        </w:rPr>
        <w:t>.</w:t>
      </w:r>
    </w:p>
    <w:p w14:paraId="030E0635"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 xml:space="preserve">Random Forest is widely used in healthcare predictive </w:t>
      </w:r>
      <w:proofErr w:type="spellStart"/>
      <w:r w:rsidRPr="00972C69">
        <w:rPr>
          <w:rFonts w:eastAsia="Times New Roman"/>
          <w:lang w:val="en-AE" w:eastAsia="en-AE"/>
        </w:rPr>
        <w:t>modeling</w:t>
      </w:r>
      <w:proofErr w:type="spellEnd"/>
      <w:r w:rsidRPr="00972C69">
        <w:rPr>
          <w:rFonts w:eastAsia="Times New Roman"/>
          <w:lang w:val="en-AE" w:eastAsia="en-AE"/>
        </w:rPr>
        <w:t xml:space="preserve"> due to its robustness, ability to handle structured clinical data, and resistance to overfitting. The algorithm also provides measures of feature importance that enhance interpretability.</w:t>
      </w:r>
    </w:p>
    <w:p w14:paraId="4C10DCC5" w14:textId="77777777" w:rsidR="003202C9" w:rsidRPr="00972C69" w:rsidRDefault="003202C9" w:rsidP="003202C9">
      <w:pPr>
        <w:spacing w:before="100" w:beforeAutospacing="1" w:after="100" w:afterAutospacing="1"/>
        <w:jc w:val="both"/>
        <w:rPr>
          <w:rFonts w:eastAsia="Times New Roman"/>
          <w:lang w:val="en-AE" w:eastAsia="en-AE"/>
        </w:rPr>
      </w:pPr>
      <w:proofErr w:type="spellStart"/>
      <w:r w:rsidRPr="00972C69">
        <w:rPr>
          <w:rFonts w:eastAsia="Times New Roman"/>
          <w:lang w:val="en-AE" w:eastAsia="en-AE"/>
        </w:rPr>
        <w:t>XGBoost</w:t>
      </w:r>
      <w:proofErr w:type="spellEnd"/>
      <w:r w:rsidRPr="00972C69">
        <w:rPr>
          <w:rFonts w:eastAsia="Times New Roman"/>
          <w:lang w:val="en-AE" w:eastAsia="en-AE"/>
        </w:rPr>
        <w:t xml:space="preserve"> was selected due to its strong predictive performance and its ability to capture nonlinear relationships between clinical variables. Gradient boosting techniques have consistently demonstrated high predictive accuracy in structured medical datasets.</w:t>
      </w:r>
    </w:p>
    <w:p w14:paraId="3DF25047"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Explainable AI mechanisms are incorporated to enhance transparency and support regulatory compliance. Feature contribution analysis allows clinicians to understand how individual patient characteristics influence the referral recommendation.</w:t>
      </w:r>
    </w:p>
    <w:p w14:paraId="13FE950E" w14:textId="77777777" w:rsidR="003202C9" w:rsidRPr="00972C69" w:rsidRDefault="003202C9" w:rsidP="003202C9">
      <w:pPr>
        <w:pStyle w:val="Keywords"/>
        <w:jc w:val="center"/>
        <w:rPr>
          <w:b w:val="0"/>
          <w:bCs w:val="0"/>
          <w:i w:val="0"/>
          <w:iCs/>
          <w:sz w:val="20"/>
          <w:szCs w:val="20"/>
        </w:rPr>
      </w:pPr>
      <w:r w:rsidRPr="00972C69">
        <w:rPr>
          <w:b w:val="0"/>
          <w:bCs w:val="0"/>
          <w:i w:val="0"/>
          <w:iCs/>
          <w:sz w:val="20"/>
          <w:szCs w:val="20"/>
        </w:rPr>
        <w:t>VI. IMPLEMENTATION ROADMAP</w:t>
      </w:r>
    </w:p>
    <w:p w14:paraId="28A8E4B9"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Successful adoption of AI systems in healthcare requires a structured implementation strategy. The proposed framework includes four implementation phases:</w:t>
      </w:r>
    </w:p>
    <w:p w14:paraId="725B4E3E" w14:textId="77777777" w:rsidR="003202C9" w:rsidRPr="00972C69" w:rsidRDefault="003202C9" w:rsidP="003202C9">
      <w:pPr>
        <w:numPr>
          <w:ilvl w:val="0"/>
          <w:numId w:val="36"/>
        </w:numPr>
        <w:spacing w:before="100" w:beforeAutospacing="1" w:after="100" w:afterAutospacing="1"/>
        <w:jc w:val="both"/>
        <w:rPr>
          <w:rFonts w:eastAsia="Times New Roman"/>
          <w:lang w:val="en-AE" w:eastAsia="en-AE"/>
        </w:rPr>
      </w:pPr>
      <w:r w:rsidRPr="00972C69">
        <w:rPr>
          <w:rFonts w:eastAsia="Times New Roman"/>
          <w:b/>
          <w:bCs/>
          <w:lang w:val="en-AE" w:eastAsia="en-AE"/>
        </w:rPr>
        <w:t>Data readiness and stakeholder engagement</w:t>
      </w:r>
    </w:p>
    <w:p w14:paraId="33D593D7" w14:textId="77777777" w:rsidR="003202C9" w:rsidRPr="00972C69" w:rsidRDefault="003202C9" w:rsidP="003202C9">
      <w:pPr>
        <w:numPr>
          <w:ilvl w:val="0"/>
          <w:numId w:val="36"/>
        </w:numPr>
        <w:spacing w:before="100" w:beforeAutospacing="1" w:after="100" w:afterAutospacing="1"/>
        <w:jc w:val="both"/>
        <w:rPr>
          <w:rFonts w:eastAsia="Times New Roman"/>
          <w:lang w:val="en-AE" w:eastAsia="en-AE"/>
        </w:rPr>
      </w:pPr>
      <w:r w:rsidRPr="00972C69">
        <w:rPr>
          <w:rFonts w:eastAsia="Times New Roman"/>
          <w:b/>
          <w:bCs/>
          <w:lang w:val="en-AE" w:eastAsia="en-AE"/>
        </w:rPr>
        <w:t>Model development and internal validation</w:t>
      </w:r>
    </w:p>
    <w:p w14:paraId="23956790" w14:textId="77777777" w:rsidR="003202C9" w:rsidRPr="00972C69" w:rsidRDefault="003202C9" w:rsidP="003202C9">
      <w:pPr>
        <w:numPr>
          <w:ilvl w:val="0"/>
          <w:numId w:val="36"/>
        </w:numPr>
        <w:spacing w:before="100" w:beforeAutospacing="1" w:after="100" w:afterAutospacing="1"/>
        <w:jc w:val="both"/>
        <w:rPr>
          <w:rFonts w:eastAsia="Times New Roman"/>
          <w:lang w:val="en-AE" w:eastAsia="en-AE"/>
        </w:rPr>
      </w:pPr>
      <w:r w:rsidRPr="00972C69">
        <w:rPr>
          <w:rFonts w:eastAsia="Times New Roman"/>
          <w:b/>
          <w:bCs/>
          <w:lang w:val="en-AE" w:eastAsia="en-AE"/>
        </w:rPr>
        <w:t>EMR integration and workflow automation</w:t>
      </w:r>
    </w:p>
    <w:p w14:paraId="35B2CB97" w14:textId="77777777" w:rsidR="003202C9" w:rsidRPr="00972C69" w:rsidRDefault="003202C9" w:rsidP="003202C9">
      <w:pPr>
        <w:numPr>
          <w:ilvl w:val="0"/>
          <w:numId w:val="36"/>
        </w:numPr>
        <w:spacing w:before="100" w:beforeAutospacing="1" w:after="100" w:afterAutospacing="1"/>
        <w:jc w:val="both"/>
        <w:rPr>
          <w:rFonts w:eastAsia="Times New Roman"/>
          <w:lang w:val="en-AE" w:eastAsia="en-AE"/>
        </w:rPr>
      </w:pPr>
      <w:r w:rsidRPr="00972C69">
        <w:rPr>
          <w:rFonts w:eastAsia="Times New Roman"/>
          <w:b/>
          <w:bCs/>
          <w:lang w:val="en-AE" w:eastAsia="en-AE"/>
        </w:rPr>
        <w:t>Continuous monitoring and system scaling</w:t>
      </w:r>
    </w:p>
    <w:p w14:paraId="27393640"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Deployment using enterprise platforms such as Azure Machine Learning supports secure model hosting, automated monitoring, model drift detection, and audit trail generation.</w:t>
      </w:r>
    </w:p>
    <w:p w14:paraId="58E2F949" w14:textId="77777777" w:rsidR="003202C9" w:rsidRPr="00972C69" w:rsidRDefault="003202C9" w:rsidP="003202C9">
      <w:pPr>
        <w:pStyle w:val="Keywords"/>
        <w:jc w:val="center"/>
        <w:rPr>
          <w:b w:val="0"/>
          <w:bCs w:val="0"/>
          <w:i w:val="0"/>
          <w:iCs/>
          <w:sz w:val="20"/>
          <w:szCs w:val="20"/>
        </w:rPr>
      </w:pPr>
      <w:r w:rsidRPr="00972C69">
        <w:rPr>
          <w:b w:val="0"/>
          <w:bCs w:val="0"/>
          <w:i w:val="0"/>
          <w:iCs/>
          <w:sz w:val="20"/>
          <w:szCs w:val="20"/>
        </w:rPr>
        <w:t>VII. VALIDATION STRATEGY</w:t>
      </w:r>
    </w:p>
    <w:p w14:paraId="16823CAA"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Validation of the proposed framework will involve pilot deployment within an outpatient physiotherapy clinic environment.</w:t>
      </w:r>
    </w:p>
    <w:p w14:paraId="1D5E02C0"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Model performance will be evaluated using cross-validation techniques and standard predictive metrics including:</w:t>
      </w:r>
    </w:p>
    <w:p w14:paraId="3A9C540C" w14:textId="77777777" w:rsidR="003202C9" w:rsidRPr="00972C69" w:rsidRDefault="003202C9" w:rsidP="003202C9">
      <w:pPr>
        <w:numPr>
          <w:ilvl w:val="0"/>
          <w:numId w:val="37"/>
        </w:numPr>
        <w:spacing w:before="100" w:beforeAutospacing="1" w:after="100" w:afterAutospacing="1"/>
        <w:jc w:val="both"/>
        <w:rPr>
          <w:rFonts w:eastAsia="Times New Roman"/>
          <w:lang w:val="en-AE" w:eastAsia="en-AE"/>
        </w:rPr>
      </w:pPr>
      <w:r w:rsidRPr="00972C69">
        <w:rPr>
          <w:rFonts w:eastAsia="Times New Roman"/>
          <w:lang w:val="en-AE" w:eastAsia="en-AE"/>
        </w:rPr>
        <w:t>ROC-AUC</w:t>
      </w:r>
    </w:p>
    <w:p w14:paraId="1A51111A" w14:textId="77777777" w:rsidR="003202C9" w:rsidRPr="00972C69" w:rsidRDefault="003202C9" w:rsidP="003202C9">
      <w:pPr>
        <w:numPr>
          <w:ilvl w:val="0"/>
          <w:numId w:val="37"/>
        </w:numPr>
        <w:spacing w:before="100" w:beforeAutospacing="1" w:after="100" w:afterAutospacing="1"/>
        <w:jc w:val="both"/>
        <w:rPr>
          <w:rFonts w:eastAsia="Times New Roman"/>
          <w:lang w:val="en-AE" w:eastAsia="en-AE"/>
        </w:rPr>
      </w:pPr>
      <w:r w:rsidRPr="00972C69">
        <w:rPr>
          <w:rFonts w:eastAsia="Times New Roman"/>
          <w:lang w:val="en-AE" w:eastAsia="en-AE"/>
        </w:rPr>
        <w:t>F1-score</w:t>
      </w:r>
    </w:p>
    <w:p w14:paraId="3309C386" w14:textId="77777777" w:rsidR="003202C9" w:rsidRPr="00972C69" w:rsidRDefault="003202C9" w:rsidP="003202C9">
      <w:pPr>
        <w:numPr>
          <w:ilvl w:val="0"/>
          <w:numId w:val="37"/>
        </w:numPr>
        <w:spacing w:before="100" w:beforeAutospacing="1" w:after="100" w:afterAutospacing="1"/>
        <w:jc w:val="both"/>
        <w:rPr>
          <w:rFonts w:eastAsia="Times New Roman"/>
          <w:lang w:val="en-AE" w:eastAsia="en-AE"/>
        </w:rPr>
      </w:pPr>
      <w:r w:rsidRPr="00972C69">
        <w:rPr>
          <w:rFonts w:eastAsia="Times New Roman"/>
          <w:lang w:val="en-AE" w:eastAsia="en-AE"/>
        </w:rPr>
        <w:t>Sensitivity</w:t>
      </w:r>
    </w:p>
    <w:p w14:paraId="189EC48C" w14:textId="77777777" w:rsidR="003202C9" w:rsidRPr="00972C69" w:rsidRDefault="003202C9" w:rsidP="003202C9">
      <w:pPr>
        <w:numPr>
          <w:ilvl w:val="0"/>
          <w:numId w:val="37"/>
        </w:numPr>
        <w:spacing w:before="100" w:beforeAutospacing="1" w:after="100" w:afterAutospacing="1"/>
        <w:jc w:val="both"/>
        <w:rPr>
          <w:rFonts w:eastAsia="Times New Roman"/>
          <w:lang w:val="en-AE" w:eastAsia="en-AE"/>
        </w:rPr>
      </w:pPr>
      <w:r w:rsidRPr="00972C69">
        <w:rPr>
          <w:rFonts w:eastAsia="Times New Roman"/>
          <w:lang w:val="en-AE" w:eastAsia="en-AE"/>
        </w:rPr>
        <w:t>Specificity</w:t>
      </w:r>
    </w:p>
    <w:p w14:paraId="1DE6F2AC" w14:textId="77777777" w:rsidR="003202C9" w:rsidRPr="00972C69" w:rsidRDefault="003202C9" w:rsidP="003202C9">
      <w:pPr>
        <w:numPr>
          <w:ilvl w:val="0"/>
          <w:numId w:val="37"/>
        </w:numPr>
        <w:spacing w:before="100" w:beforeAutospacing="1" w:after="100" w:afterAutospacing="1"/>
        <w:jc w:val="both"/>
        <w:rPr>
          <w:rFonts w:eastAsia="Times New Roman"/>
          <w:lang w:val="en-AE" w:eastAsia="en-AE"/>
        </w:rPr>
      </w:pPr>
      <w:r w:rsidRPr="00972C69">
        <w:rPr>
          <w:rFonts w:eastAsia="Times New Roman"/>
          <w:lang w:val="en-AE" w:eastAsia="en-AE"/>
        </w:rPr>
        <w:t>Calibration assessment</w:t>
      </w:r>
    </w:p>
    <w:p w14:paraId="3FF872B9"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In addition, clinician agreement analysis will examine the alignment between AI recommendations and physician referral decisions.</w:t>
      </w:r>
    </w:p>
    <w:p w14:paraId="3955EC90"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 xml:space="preserve">Preliminary retrospective </w:t>
      </w:r>
      <w:proofErr w:type="spellStart"/>
      <w:r w:rsidRPr="00972C69">
        <w:rPr>
          <w:rFonts w:eastAsia="Times New Roman"/>
          <w:lang w:val="en-AE" w:eastAsia="en-AE"/>
        </w:rPr>
        <w:t>modeling</w:t>
      </w:r>
      <w:proofErr w:type="spellEnd"/>
      <w:r w:rsidRPr="00972C69">
        <w:rPr>
          <w:rFonts w:eastAsia="Times New Roman"/>
          <w:lang w:val="en-AE" w:eastAsia="en-AE"/>
        </w:rPr>
        <w:t xml:space="preserve"> demonstrated promising performance indicators:</w:t>
      </w:r>
    </w:p>
    <w:p w14:paraId="3061237C" w14:textId="77777777" w:rsidR="003202C9" w:rsidRPr="00972C69" w:rsidRDefault="003202C9" w:rsidP="003202C9">
      <w:pPr>
        <w:numPr>
          <w:ilvl w:val="0"/>
          <w:numId w:val="38"/>
        </w:numPr>
        <w:spacing w:before="100" w:beforeAutospacing="1" w:after="100" w:afterAutospacing="1"/>
        <w:jc w:val="both"/>
        <w:rPr>
          <w:rFonts w:eastAsia="Times New Roman"/>
          <w:lang w:val="en-AE" w:eastAsia="en-AE"/>
        </w:rPr>
      </w:pPr>
      <w:r w:rsidRPr="00972C69">
        <w:rPr>
          <w:rFonts w:eastAsia="Times New Roman"/>
          <w:lang w:val="en-AE" w:eastAsia="en-AE"/>
        </w:rPr>
        <w:t>ROC-AUC: 0.84</w:t>
      </w:r>
    </w:p>
    <w:p w14:paraId="199B175A" w14:textId="77777777" w:rsidR="003202C9" w:rsidRPr="00972C69" w:rsidRDefault="003202C9" w:rsidP="003202C9">
      <w:pPr>
        <w:numPr>
          <w:ilvl w:val="0"/>
          <w:numId w:val="38"/>
        </w:numPr>
        <w:spacing w:before="100" w:beforeAutospacing="1" w:after="100" w:afterAutospacing="1"/>
        <w:jc w:val="both"/>
        <w:rPr>
          <w:rFonts w:eastAsia="Times New Roman"/>
          <w:lang w:val="en-AE" w:eastAsia="en-AE"/>
        </w:rPr>
      </w:pPr>
      <w:r w:rsidRPr="00972C69">
        <w:rPr>
          <w:rFonts w:eastAsia="Times New Roman"/>
          <w:lang w:val="en-AE" w:eastAsia="en-AE"/>
        </w:rPr>
        <w:t>F1-score: 0.81</w:t>
      </w:r>
    </w:p>
    <w:p w14:paraId="6DDBA039" w14:textId="77777777" w:rsidR="003202C9" w:rsidRPr="00972C69" w:rsidRDefault="003202C9" w:rsidP="003202C9">
      <w:pPr>
        <w:numPr>
          <w:ilvl w:val="0"/>
          <w:numId w:val="38"/>
        </w:numPr>
        <w:spacing w:before="100" w:beforeAutospacing="1" w:after="100" w:afterAutospacing="1"/>
        <w:jc w:val="both"/>
        <w:rPr>
          <w:rFonts w:eastAsia="Times New Roman"/>
          <w:lang w:val="en-AE" w:eastAsia="en-AE"/>
        </w:rPr>
      </w:pPr>
      <w:r w:rsidRPr="00972C69">
        <w:rPr>
          <w:rFonts w:eastAsia="Times New Roman"/>
          <w:lang w:val="en-AE" w:eastAsia="en-AE"/>
        </w:rPr>
        <w:t>Sensitivity: 0.86</w:t>
      </w:r>
    </w:p>
    <w:p w14:paraId="1D9EA451" w14:textId="77777777" w:rsidR="003202C9" w:rsidRPr="00972C69" w:rsidRDefault="003202C9" w:rsidP="003202C9">
      <w:pPr>
        <w:numPr>
          <w:ilvl w:val="0"/>
          <w:numId w:val="38"/>
        </w:numPr>
        <w:spacing w:before="100" w:beforeAutospacing="1" w:after="100" w:afterAutospacing="1"/>
        <w:jc w:val="both"/>
        <w:rPr>
          <w:rFonts w:eastAsia="Times New Roman"/>
          <w:lang w:val="en-AE" w:eastAsia="en-AE"/>
        </w:rPr>
      </w:pPr>
      <w:r w:rsidRPr="00972C69">
        <w:rPr>
          <w:rFonts w:eastAsia="Times New Roman"/>
          <w:lang w:val="en-AE" w:eastAsia="en-AE"/>
        </w:rPr>
        <w:t>Specificity: 0.78</w:t>
      </w:r>
    </w:p>
    <w:p w14:paraId="6A1289C5"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Future prospective validation will assess clinical workflow integration, operational feasibility, and improvements in referral consistency.</w:t>
      </w:r>
    </w:p>
    <w:p w14:paraId="3CDC0530" w14:textId="77777777" w:rsidR="00F578A1" w:rsidRDefault="00F578A1" w:rsidP="003202C9">
      <w:pPr>
        <w:pStyle w:val="Keywords"/>
        <w:jc w:val="center"/>
        <w:rPr>
          <w:b w:val="0"/>
          <w:bCs w:val="0"/>
          <w:i w:val="0"/>
          <w:iCs/>
          <w:sz w:val="20"/>
          <w:szCs w:val="20"/>
        </w:rPr>
      </w:pPr>
    </w:p>
    <w:p w14:paraId="5FA033E2" w14:textId="77777777" w:rsidR="00F578A1" w:rsidRDefault="00F578A1" w:rsidP="003202C9">
      <w:pPr>
        <w:pStyle w:val="Keywords"/>
        <w:jc w:val="center"/>
        <w:rPr>
          <w:b w:val="0"/>
          <w:bCs w:val="0"/>
          <w:i w:val="0"/>
          <w:iCs/>
          <w:sz w:val="20"/>
          <w:szCs w:val="20"/>
        </w:rPr>
      </w:pPr>
    </w:p>
    <w:p w14:paraId="643C3C4E" w14:textId="5FBFE424" w:rsidR="003202C9" w:rsidRPr="00972C69" w:rsidRDefault="003202C9" w:rsidP="003202C9">
      <w:pPr>
        <w:pStyle w:val="Keywords"/>
        <w:jc w:val="center"/>
        <w:rPr>
          <w:b w:val="0"/>
          <w:bCs w:val="0"/>
          <w:i w:val="0"/>
          <w:iCs/>
          <w:sz w:val="20"/>
          <w:szCs w:val="20"/>
        </w:rPr>
      </w:pPr>
      <w:r w:rsidRPr="00972C69">
        <w:rPr>
          <w:b w:val="0"/>
          <w:bCs w:val="0"/>
          <w:i w:val="0"/>
          <w:iCs/>
          <w:sz w:val="20"/>
          <w:szCs w:val="20"/>
        </w:rPr>
        <w:lastRenderedPageBreak/>
        <w:t>VIII. FAIRNESS AND GOVERNANCE</w:t>
      </w:r>
    </w:p>
    <w:p w14:paraId="75E27232"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Responsible AI deployment in healthcare requires careful attention to fairness, transparency, and governance.</w:t>
      </w:r>
    </w:p>
    <w:p w14:paraId="0B43DDA8"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The proposed framework includes mechanisms to evaluate algorithmic fairness across demographic groups, including age and gender strata. Bias monitoring and model drift detection will be implemented using enterprise AI governance tools.</w:t>
      </w:r>
    </w:p>
    <w:p w14:paraId="459B2250"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Physician oversight remains central to the framework to ensure that automated recommendations do not replace clinical judgment. Continuous monitoring and audit processes will ensure safe and responsible use of AI in clinical decision-making.</w:t>
      </w:r>
    </w:p>
    <w:p w14:paraId="6B803E50" w14:textId="77777777" w:rsidR="003202C9" w:rsidRPr="00972C69" w:rsidRDefault="003202C9" w:rsidP="003202C9">
      <w:pPr>
        <w:pStyle w:val="Keywords"/>
        <w:jc w:val="center"/>
        <w:rPr>
          <w:b w:val="0"/>
          <w:bCs w:val="0"/>
          <w:i w:val="0"/>
          <w:iCs/>
          <w:sz w:val="20"/>
          <w:szCs w:val="20"/>
        </w:rPr>
      </w:pPr>
      <w:r w:rsidRPr="00972C69">
        <w:rPr>
          <w:b w:val="0"/>
          <w:bCs w:val="0"/>
          <w:i w:val="0"/>
          <w:iCs/>
          <w:sz w:val="20"/>
          <w:szCs w:val="20"/>
        </w:rPr>
        <w:t>IX. CONCLUSION</w:t>
      </w:r>
    </w:p>
    <w:p w14:paraId="31E36871" w14:textId="77777777" w:rsidR="003202C9" w:rsidRPr="00972C69" w:rsidRDefault="003202C9" w:rsidP="003202C9">
      <w:pPr>
        <w:spacing w:before="100" w:beforeAutospacing="1" w:after="100" w:afterAutospacing="1"/>
        <w:jc w:val="both"/>
        <w:rPr>
          <w:rFonts w:eastAsia="Times New Roman"/>
          <w:lang w:val="en-AE" w:eastAsia="en-AE"/>
        </w:rPr>
      </w:pPr>
      <w:r w:rsidRPr="00972C69">
        <w:rPr>
          <w:rFonts w:eastAsia="Times New Roman"/>
          <w:lang w:val="en-AE" w:eastAsia="en-AE"/>
        </w:rPr>
        <w:t>This study proposes a governance-aligned AI framework for improving physiotherapy referral decisions in outpatient care. By integrating supervised machine learning models, explainable AI mechanisms, and enterprise deployment architecture, the framework aims to enhance referral consistency and support equitable access to rehabilitation services.</w:t>
      </w:r>
    </w:p>
    <w:p w14:paraId="7C2A87BF" w14:textId="77777777" w:rsidR="003202C9" w:rsidRPr="00972C69" w:rsidRDefault="003202C9" w:rsidP="003202C9">
      <w:pPr>
        <w:spacing w:before="100" w:beforeAutospacing="1" w:after="100" w:afterAutospacing="1"/>
        <w:jc w:val="both"/>
        <w:rPr>
          <w:rFonts w:eastAsia="Times New Roman"/>
          <w:rtl/>
          <w:lang w:val="en-AE" w:eastAsia="en-AE"/>
        </w:rPr>
      </w:pPr>
      <w:r w:rsidRPr="00972C69">
        <w:rPr>
          <w:rFonts w:eastAsia="Times New Roman"/>
          <w:lang w:val="en-AE" w:eastAsia="en-AE"/>
        </w:rPr>
        <w:t>The conceptual framework bridges the gap between machine learning research and real-world clinical implementation by incorporating workflow integration, governance considerations, and validation planning. Future work will focus on pilot implementation and empirical evaluation of the system within outpatient rehabilitation environments.</w:t>
      </w:r>
    </w:p>
    <w:p w14:paraId="06A69C48" w14:textId="77777777" w:rsidR="003202C9" w:rsidRDefault="003202C9" w:rsidP="003202C9">
      <w:pPr>
        <w:pStyle w:val="NormalWeb"/>
        <w:rPr>
          <w:sz w:val="20"/>
          <w:szCs w:val="20"/>
        </w:rPr>
      </w:pPr>
      <w:r w:rsidRPr="004257CB">
        <w:rPr>
          <w:sz w:val="20"/>
          <w:szCs w:val="20"/>
        </w:rPr>
        <w:t>REFERENCES</w:t>
      </w:r>
    </w:p>
    <w:p w14:paraId="40C62D3B" w14:textId="77777777" w:rsidR="003202C9" w:rsidRPr="004257CB" w:rsidRDefault="003202C9" w:rsidP="003202C9">
      <w:pPr>
        <w:pStyle w:val="NormalWeb"/>
        <w:spacing w:after="6" w:line="228" w:lineRule="auto"/>
        <w:ind w:left="432"/>
        <w:rPr>
          <w:sz w:val="20"/>
          <w:szCs w:val="20"/>
        </w:rPr>
      </w:pPr>
    </w:p>
    <w:p w14:paraId="0DC1F752" w14:textId="77777777" w:rsidR="003202C9" w:rsidRDefault="003202C9" w:rsidP="003202C9">
      <w:pPr>
        <w:pStyle w:val="BodyText"/>
        <w:tabs>
          <w:tab w:val="clear" w:pos="288"/>
        </w:tabs>
        <w:spacing w:after="6"/>
        <w:ind w:left="432" w:hanging="450"/>
        <w:rPr>
          <w:sz w:val="16"/>
          <w:szCs w:val="16"/>
          <w:lang w:val="en-AE"/>
        </w:rPr>
      </w:pPr>
      <w:r w:rsidRPr="008A0600">
        <w:rPr>
          <w:sz w:val="16"/>
          <w:szCs w:val="16"/>
          <w:lang w:val="en-AE"/>
        </w:rPr>
        <w:t>[1]</w:t>
      </w:r>
      <w:r w:rsidRPr="006914B5">
        <w:rPr>
          <w:lang w:val="en-AE"/>
        </w:rPr>
        <w:t xml:space="preserve"> </w:t>
      </w:r>
      <w:r>
        <w:rPr>
          <w:lang w:val="en-AE"/>
        </w:rPr>
        <w:t xml:space="preserve">  </w:t>
      </w:r>
      <w:r w:rsidRPr="00D06961">
        <w:rPr>
          <w:sz w:val="16"/>
          <w:szCs w:val="16"/>
          <w:lang w:val="en-AE"/>
        </w:rPr>
        <w:t xml:space="preserve">A. </w:t>
      </w:r>
      <w:proofErr w:type="spellStart"/>
      <w:r w:rsidRPr="00D06961">
        <w:rPr>
          <w:sz w:val="16"/>
          <w:szCs w:val="16"/>
          <w:lang w:val="en-AE"/>
        </w:rPr>
        <w:t>Rajkomar</w:t>
      </w:r>
      <w:proofErr w:type="spellEnd"/>
      <w:r w:rsidRPr="00D06961">
        <w:rPr>
          <w:sz w:val="16"/>
          <w:szCs w:val="16"/>
          <w:lang w:val="en-AE"/>
        </w:rPr>
        <w:t xml:space="preserve">, J. Dean, and I. </w:t>
      </w:r>
      <w:proofErr w:type="spellStart"/>
      <w:r w:rsidRPr="00D06961">
        <w:rPr>
          <w:sz w:val="16"/>
          <w:szCs w:val="16"/>
          <w:lang w:val="en-AE"/>
        </w:rPr>
        <w:t>Kohane</w:t>
      </w:r>
      <w:proofErr w:type="spellEnd"/>
      <w:r w:rsidRPr="00D06961">
        <w:rPr>
          <w:sz w:val="16"/>
          <w:szCs w:val="16"/>
          <w:lang w:val="en-AE"/>
        </w:rPr>
        <w:t xml:space="preserve">, “Machine learning in medicine,” </w:t>
      </w:r>
      <w:r w:rsidRPr="00D06961">
        <w:rPr>
          <w:i/>
          <w:iCs/>
          <w:sz w:val="16"/>
          <w:szCs w:val="16"/>
          <w:lang w:val="en-AE"/>
        </w:rPr>
        <w:t>New England Journal of Medicine</w:t>
      </w:r>
      <w:r w:rsidRPr="00D06961">
        <w:rPr>
          <w:sz w:val="16"/>
          <w:szCs w:val="16"/>
          <w:lang w:val="en-AE"/>
        </w:rPr>
        <w:t>, vol. 380, no. 14, pp. 1347–1358, 2019</w:t>
      </w:r>
    </w:p>
    <w:p w14:paraId="6539B1D2" w14:textId="77777777" w:rsidR="003202C9" w:rsidRPr="00D06961" w:rsidRDefault="003202C9" w:rsidP="003202C9">
      <w:pPr>
        <w:pStyle w:val="BodyText"/>
        <w:tabs>
          <w:tab w:val="clear" w:pos="288"/>
        </w:tabs>
        <w:spacing w:after="6"/>
        <w:ind w:left="432" w:hanging="450"/>
        <w:rPr>
          <w:sz w:val="16"/>
          <w:szCs w:val="16"/>
          <w:lang w:val="en-AE"/>
        </w:rPr>
      </w:pPr>
      <w:r w:rsidRPr="00D06961">
        <w:rPr>
          <w:sz w:val="16"/>
          <w:szCs w:val="16"/>
          <w:lang w:val="en-AE"/>
        </w:rPr>
        <w:t xml:space="preserve">[2] </w:t>
      </w:r>
      <w:r>
        <w:rPr>
          <w:sz w:val="16"/>
          <w:szCs w:val="16"/>
          <w:lang w:val="en-AE"/>
        </w:rPr>
        <w:tab/>
      </w:r>
      <w:r w:rsidRPr="00D06961">
        <w:rPr>
          <w:sz w:val="16"/>
          <w:szCs w:val="16"/>
          <w:lang w:val="en-AE"/>
        </w:rPr>
        <w:t xml:space="preserve">E. J. Topol, “High-performance medicine: The convergence of human and artificial intelligence,” </w:t>
      </w:r>
      <w:r w:rsidRPr="00D06961">
        <w:rPr>
          <w:i/>
          <w:iCs/>
          <w:sz w:val="16"/>
          <w:szCs w:val="16"/>
          <w:lang w:val="en-AE"/>
        </w:rPr>
        <w:t>Nature Medicine</w:t>
      </w:r>
      <w:r w:rsidRPr="00D06961">
        <w:rPr>
          <w:sz w:val="16"/>
          <w:szCs w:val="16"/>
          <w:lang w:val="en-AE"/>
        </w:rPr>
        <w:t>, vol. 25, no. 1, pp. 44–56, 2019.</w:t>
      </w:r>
    </w:p>
    <w:p w14:paraId="7167A57F" w14:textId="77777777" w:rsidR="003202C9" w:rsidRPr="00D06961" w:rsidRDefault="003202C9" w:rsidP="003202C9">
      <w:pPr>
        <w:pStyle w:val="BodyText"/>
        <w:tabs>
          <w:tab w:val="clear" w:pos="288"/>
        </w:tabs>
        <w:spacing w:after="6"/>
        <w:ind w:left="432" w:hanging="450"/>
        <w:rPr>
          <w:sz w:val="16"/>
          <w:szCs w:val="16"/>
          <w:lang w:val="en-AE"/>
        </w:rPr>
      </w:pPr>
      <w:r w:rsidRPr="00D06961">
        <w:rPr>
          <w:sz w:val="16"/>
          <w:szCs w:val="16"/>
          <w:lang w:val="en-AE"/>
        </w:rPr>
        <w:t xml:space="preserve">[3] </w:t>
      </w:r>
      <w:r>
        <w:rPr>
          <w:sz w:val="16"/>
          <w:szCs w:val="16"/>
          <w:lang w:val="en-AE"/>
        </w:rPr>
        <w:tab/>
      </w:r>
      <w:r w:rsidRPr="00D06961">
        <w:rPr>
          <w:sz w:val="16"/>
          <w:szCs w:val="16"/>
          <w:lang w:val="en-AE"/>
        </w:rPr>
        <w:t xml:space="preserve">C. J. Kelly, A. </w:t>
      </w:r>
      <w:proofErr w:type="spellStart"/>
      <w:r w:rsidRPr="00D06961">
        <w:rPr>
          <w:sz w:val="16"/>
          <w:szCs w:val="16"/>
          <w:lang w:val="en-AE"/>
        </w:rPr>
        <w:t>Karthikesalingam</w:t>
      </w:r>
      <w:proofErr w:type="spellEnd"/>
      <w:r w:rsidRPr="00D06961">
        <w:rPr>
          <w:sz w:val="16"/>
          <w:szCs w:val="16"/>
          <w:lang w:val="en-AE"/>
        </w:rPr>
        <w:t xml:space="preserve">, M. Suleyman, G. Corrado, and D. King, “Key challenges for delivering clinical impact with artificial intelligence,” </w:t>
      </w:r>
      <w:r w:rsidRPr="00D06961">
        <w:rPr>
          <w:i/>
          <w:iCs/>
          <w:sz w:val="16"/>
          <w:szCs w:val="16"/>
          <w:lang w:val="en-AE"/>
        </w:rPr>
        <w:t>BMC Medicine</w:t>
      </w:r>
      <w:r w:rsidRPr="00D06961">
        <w:rPr>
          <w:sz w:val="16"/>
          <w:szCs w:val="16"/>
          <w:lang w:val="en-AE"/>
        </w:rPr>
        <w:t>, vol. 17, no. 1, 2019.</w:t>
      </w:r>
    </w:p>
    <w:p w14:paraId="3044DBAB" w14:textId="77777777" w:rsidR="003202C9" w:rsidRPr="00D06961" w:rsidRDefault="003202C9" w:rsidP="003202C9">
      <w:pPr>
        <w:pStyle w:val="BodyText"/>
        <w:tabs>
          <w:tab w:val="clear" w:pos="288"/>
        </w:tabs>
        <w:spacing w:after="6"/>
        <w:ind w:left="432" w:hanging="450"/>
        <w:rPr>
          <w:sz w:val="16"/>
          <w:szCs w:val="16"/>
          <w:lang w:val="en-AE"/>
        </w:rPr>
      </w:pPr>
      <w:r w:rsidRPr="00D06961">
        <w:rPr>
          <w:sz w:val="16"/>
          <w:szCs w:val="16"/>
          <w:lang w:val="en-AE"/>
        </w:rPr>
        <w:t xml:space="preserve">[4] </w:t>
      </w:r>
      <w:r>
        <w:rPr>
          <w:sz w:val="16"/>
          <w:szCs w:val="16"/>
          <w:lang w:val="en-AE"/>
        </w:rPr>
        <w:tab/>
      </w:r>
      <w:r w:rsidRPr="00D06961">
        <w:rPr>
          <w:sz w:val="16"/>
          <w:szCs w:val="16"/>
          <w:lang w:val="en-AE"/>
        </w:rPr>
        <w:t xml:space="preserve">M. P. Sendak, N. Gao, N. Brajer, and R. Balu, “Presenting machine learning model information to clinical end users with model facts labels,” </w:t>
      </w:r>
      <w:proofErr w:type="spellStart"/>
      <w:r w:rsidRPr="00D06961">
        <w:rPr>
          <w:i/>
          <w:iCs/>
          <w:sz w:val="16"/>
          <w:szCs w:val="16"/>
          <w:lang w:val="en-AE"/>
        </w:rPr>
        <w:t>npj</w:t>
      </w:r>
      <w:proofErr w:type="spellEnd"/>
      <w:r w:rsidRPr="00D06961">
        <w:rPr>
          <w:i/>
          <w:iCs/>
          <w:sz w:val="16"/>
          <w:szCs w:val="16"/>
          <w:lang w:val="en-AE"/>
        </w:rPr>
        <w:t xml:space="preserve"> Digital Medicine</w:t>
      </w:r>
      <w:r w:rsidRPr="00D06961">
        <w:rPr>
          <w:sz w:val="16"/>
          <w:szCs w:val="16"/>
          <w:lang w:val="en-AE"/>
        </w:rPr>
        <w:t xml:space="preserve">, vol. 3, no. 1, 2020. </w:t>
      </w:r>
    </w:p>
    <w:p w14:paraId="5CAC0390" w14:textId="77777777" w:rsidR="003202C9" w:rsidRPr="00D06961" w:rsidRDefault="003202C9" w:rsidP="003202C9">
      <w:pPr>
        <w:pStyle w:val="BodyText"/>
        <w:tabs>
          <w:tab w:val="clear" w:pos="288"/>
        </w:tabs>
        <w:spacing w:after="6"/>
        <w:ind w:left="432" w:hanging="450"/>
        <w:rPr>
          <w:sz w:val="16"/>
          <w:szCs w:val="16"/>
          <w:lang w:val="en-AE"/>
        </w:rPr>
      </w:pPr>
      <w:r w:rsidRPr="00D06961">
        <w:rPr>
          <w:sz w:val="16"/>
          <w:szCs w:val="16"/>
          <w:lang w:val="en-AE"/>
        </w:rPr>
        <w:t xml:space="preserve">[5] </w:t>
      </w:r>
      <w:r>
        <w:rPr>
          <w:sz w:val="16"/>
          <w:szCs w:val="16"/>
          <w:lang w:val="en-AE"/>
        </w:rPr>
        <w:tab/>
      </w:r>
      <w:r w:rsidRPr="00D06961">
        <w:rPr>
          <w:sz w:val="16"/>
          <w:szCs w:val="16"/>
          <w:lang w:val="en-AE"/>
        </w:rPr>
        <w:t xml:space="preserve">J. Wiens et al., “Do no harm: A roadmap for responsible machine learning for healthcare,” </w:t>
      </w:r>
      <w:r w:rsidRPr="00D06961">
        <w:rPr>
          <w:i/>
          <w:iCs/>
          <w:sz w:val="16"/>
          <w:szCs w:val="16"/>
          <w:lang w:val="en-AE"/>
        </w:rPr>
        <w:t>Nature Medicine</w:t>
      </w:r>
      <w:r w:rsidRPr="00D06961">
        <w:rPr>
          <w:sz w:val="16"/>
          <w:szCs w:val="16"/>
          <w:lang w:val="en-AE"/>
        </w:rPr>
        <w:t>, vol. 25, pp. 1337–1340, 2019.</w:t>
      </w:r>
    </w:p>
    <w:p w14:paraId="4E11A05A" w14:textId="77777777" w:rsidR="003202C9" w:rsidRPr="00D06961" w:rsidRDefault="003202C9" w:rsidP="003202C9">
      <w:pPr>
        <w:pStyle w:val="BodyText"/>
        <w:tabs>
          <w:tab w:val="clear" w:pos="288"/>
        </w:tabs>
        <w:spacing w:after="6"/>
        <w:ind w:left="432" w:hanging="450"/>
        <w:rPr>
          <w:sz w:val="16"/>
          <w:szCs w:val="16"/>
          <w:lang w:val="en-AE"/>
        </w:rPr>
      </w:pPr>
      <w:r w:rsidRPr="00D06961">
        <w:rPr>
          <w:sz w:val="16"/>
          <w:szCs w:val="16"/>
          <w:lang w:val="en-AE"/>
        </w:rPr>
        <w:t xml:space="preserve">[6] </w:t>
      </w:r>
      <w:r>
        <w:rPr>
          <w:sz w:val="16"/>
          <w:szCs w:val="16"/>
          <w:lang w:val="en-AE"/>
        </w:rPr>
        <w:tab/>
      </w:r>
      <w:r w:rsidRPr="00D06961">
        <w:rPr>
          <w:sz w:val="16"/>
          <w:szCs w:val="16"/>
          <w:lang w:val="en-AE"/>
        </w:rPr>
        <w:t xml:space="preserve">World Health Organization, </w:t>
      </w:r>
      <w:r w:rsidRPr="00D06961">
        <w:rPr>
          <w:i/>
          <w:iCs/>
          <w:sz w:val="16"/>
          <w:szCs w:val="16"/>
          <w:lang w:val="en-AE"/>
        </w:rPr>
        <w:t>Ethics and governance of artificial intelligence for health</w:t>
      </w:r>
      <w:r w:rsidRPr="00D06961">
        <w:rPr>
          <w:sz w:val="16"/>
          <w:szCs w:val="16"/>
          <w:lang w:val="en-AE"/>
        </w:rPr>
        <w:t>, Geneva, Switzerland, 2021.</w:t>
      </w:r>
    </w:p>
    <w:p w14:paraId="15416BE6" w14:textId="77777777" w:rsidR="003202C9" w:rsidRPr="00D06961" w:rsidRDefault="003202C9" w:rsidP="003202C9">
      <w:pPr>
        <w:pStyle w:val="BodyText"/>
        <w:tabs>
          <w:tab w:val="clear" w:pos="288"/>
        </w:tabs>
        <w:spacing w:after="6"/>
        <w:ind w:left="432" w:hanging="450"/>
        <w:rPr>
          <w:sz w:val="16"/>
          <w:szCs w:val="16"/>
          <w:lang w:val="en-AE"/>
        </w:rPr>
      </w:pPr>
      <w:r w:rsidRPr="00D06961">
        <w:rPr>
          <w:sz w:val="16"/>
          <w:szCs w:val="16"/>
          <w:lang w:val="en-AE"/>
        </w:rPr>
        <w:t>[7]</w:t>
      </w:r>
      <w:r>
        <w:rPr>
          <w:sz w:val="16"/>
          <w:szCs w:val="16"/>
          <w:lang w:val="en-AE"/>
        </w:rPr>
        <w:tab/>
      </w:r>
      <w:r w:rsidRPr="00D06961">
        <w:rPr>
          <w:sz w:val="16"/>
          <w:szCs w:val="16"/>
          <w:lang w:val="en-AE"/>
        </w:rPr>
        <w:t xml:space="preserve"> I. Y. Chen, S. Joshi, and M. Ghassemi, “Treating health disparities with artificial intelligence,” </w:t>
      </w:r>
      <w:r w:rsidRPr="00D06961">
        <w:rPr>
          <w:i/>
          <w:iCs/>
          <w:sz w:val="16"/>
          <w:szCs w:val="16"/>
          <w:lang w:val="en-AE"/>
        </w:rPr>
        <w:t>Nature Medicine</w:t>
      </w:r>
      <w:r w:rsidRPr="00D06961">
        <w:rPr>
          <w:sz w:val="16"/>
          <w:szCs w:val="16"/>
          <w:lang w:val="en-AE"/>
        </w:rPr>
        <w:t>, vol. 27, pp. 25–29, 2021.</w:t>
      </w:r>
    </w:p>
    <w:p w14:paraId="09D509CF" w14:textId="77777777" w:rsidR="003202C9" w:rsidRPr="00D06961" w:rsidRDefault="003202C9" w:rsidP="003202C9">
      <w:pPr>
        <w:pStyle w:val="BodyText"/>
        <w:tabs>
          <w:tab w:val="clear" w:pos="288"/>
        </w:tabs>
        <w:spacing w:after="6"/>
        <w:ind w:left="432" w:hanging="450"/>
        <w:rPr>
          <w:sz w:val="16"/>
          <w:szCs w:val="16"/>
          <w:lang w:val="en-AE"/>
        </w:rPr>
      </w:pPr>
      <w:r w:rsidRPr="00D06961">
        <w:rPr>
          <w:sz w:val="16"/>
          <w:szCs w:val="16"/>
          <w:lang w:val="en-AE"/>
        </w:rPr>
        <w:t>[8]</w:t>
      </w:r>
      <w:r>
        <w:rPr>
          <w:sz w:val="16"/>
          <w:szCs w:val="16"/>
          <w:lang w:val="en-AE"/>
        </w:rPr>
        <w:tab/>
      </w:r>
      <w:r w:rsidRPr="00D06961">
        <w:rPr>
          <w:sz w:val="16"/>
          <w:szCs w:val="16"/>
          <w:lang w:val="en-AE"/>
        </w:rPr>
        <w:t xml:space="preserve"> S. M. Lundberg and S.-I. Lee, “A unified approach to interpreting model predictions,” in </w:t>
      </w:r>
      <w:r w:rsidRPr="00D06961">
        <w:rPr>
          <w:i/>
          <w:iCs/>
          <w:sz w:val="16"/>
          <w:szCs w:val="16"/>
          <w:lang w:val="en-AE"/>
        </w:rPr>
        <w:t>Advances in Neural Information Processing Systems (</w:t>
      </w:r>
      <w:proofErr w:type="spellStart"/>
      <w:r w:rsidRPr="00D06961">
        <w:rPr>
          <w:i/>
          <w:iCs/>
          <w:sz w:val="16"/>
          <w:szCs w:val="16"/>
          <w:lang w:val="en-AE"/>
        </w:rPr>
        <w:t>NeurIPS</w:t>
      </w:r>
      <w:proofErr w:type="spellEnd"/>
      <w:r w:rsidRPr="00D06961">
        <w:rPr>
          <w:i/>
          <w:iCs/>
          <w:sz w:val="16"/>
          <w:szCs w:val="16"/>
          <w:lang w:val="en-AE"/>
        </w:rPr>
        <w:t>)</w:t>
      </w:r>
      <w:r w:rsidRPr="00D06961">
        <w:rPr>
          <w:sz w:val="16"/>
          <w:szCs w:val="16"/>
          <w:lang w:val="en-AE"/>
        </w:rPr>
        <w:t>, 2017.</w:t>
      </w:r>
    </w:p>
    <w:p w14:paraId="4CE606F7" w14:textId="77777777" w:rsidR="003202C9" w:rsidRPr="00D06961" w:rsidRDefault="003202C9" w:rsidP="003202C9">
      <w:pPr>
        <w:pStyle w:val="BodyText"/>
        <w:tabs>
          <w:tab w:val="clear" w:pos="288"/>
        </w:tabs>
        <w:spacing w:after="6"/>
        <w:ind w:left="432" w:hanging="450"/>
        <w:rPr>
          <w:sz w:val="16"/>
          <w:szCs w:val="16"/>
          <w:lang w:val="en-AE"/>
        </w:rPr>
      </w:pPr>
      <w:r w:rsidRPr="00D06961">
        <w:rPr>
          <w:sz w:val="16"/>
          <w:szCs w:val="16"/>
          <w:lang w:val="en-AE"/>
        </w:rPr>
        <w:t xml:space="preserve">[9] </w:t>
      </w:r>
      <w:r>
        <w:rPr>
          <w:sz w:val="16"/>
          <w:szCs w:val="16"/>
          <w:lang w:val="en-AE"/>
        </w:rPr>
        <w:tab/>
      </w:r>
      <w:r w:rsidRPr="00D06961">
        <w:rPr>
          <w:sz w:val="16"/>
          <w:szCs w:val="16"/>
          <w:lang w:val="en-AE"/>
        </w:rPr>
        <w:t xml:space="preserve">T. Chen and C. </w:t>
      </w:r>
      <w:proofErr w:type="spellStart"/>
      <w:r w:rsidRPr="00D06961">
        <w:rPr>
          <w:sz w:val="16"/>
          <w:szCs w:val="16"/>
          <w:lang w:val="en-AE"/>
        </w:rPr>
        <w:t>Guestrin</w:t>
      </w:r>
      <w:proofErr w:type="spellEnd"/>
      <w:r w:rsidRPr="00D06961">
        <w:rPr>
          <w:sz w:val="16"/>
          <w:szCs w:val="16"/>
          <w:lang w:val="en-AE"/>
        </w:rPr>
        <w:t>, “</w:t>
      </w:r>
      <w:proofErr w:type="spellStart"/>
      <w:r w:rsidRPr="00D06961">
        <w:rPr>
          <w:sz w:val="16"/>
          <w:szCs w:val="16"/>
          <w:lang w:val="en-AE"/>
        </w:rPr>
        <w:t>XGBoost</w:t>
      </w:r>
      <w:proofErr w:type="spellEnd"/>
      <w:r w:rsidRPr="00D06961">
        <w:rPr>
          <w:sz w:val="16"/>
          <w:szCs w:val="16"/>
          <w:lang w:val="en-AE"/>
        </w:rPr>
        <w:t xml:space="preserve">: A scalable tree boosting system,” in </w:t>
      </w:r>
      <w:r w:rsidRPr="00D06961">
        <w:rPr>
          <w:i/>
          <w:iCs/>
          <w:sz w:val="16"/>
          <w:szCs w:val="16"/>
          <w:lang w:val="en-AE"/>
        </w:rPr>
        <w:t>Proc. ACM SIGKDD Int. Conf. Knowledge Discovery and Data Mining</w:t>
      </w:r>
      <w:r w:rsidRPr="00D06961">
        <w:rPr>
          <w:sz w:val="16"/>
          <w:szCs w:val="16"/>
          <w:lang w:val="en-AE"/>
        </w:rPr>
        <w:t>, 2016, pp. 785–794.</w:t>
      </w:r>
    </w:p>
    <w:p w14:paraId="2FA6177C" w14:textId="77777777" w:rsidR="003202C9" w:rsidRPr="00D06961" w:rsidRDefault="003202C9" w:rsidP="003202C9">
      <w:pPr>
        <w:pStyle w:val="BodyText"/>
        <w:tabs>
          <w:tab w:val="clear" w:pos="288"/>
        </w:tabs>
        <w:spacing w:after="6"/>
        <w:ind w:left="432" w:hanging="450"/>
        <w:rPr>
          <w:sz w:val="16"/>
          <w:szCs w:val="16"/>
          <w:lang w:val="en-AE"/>
        </w:rPr>
      </w:pPr>
      <w:r w:rsidRPr="00D06961">
        <w:rPr>
          <w:sz w:val="16"/>
          <w:szCs w:val="16"/>
          <w:lang w:val="en-AE"/>
        </w:rPr>
        <w:t xml:space="preserve">[10] </w:t>
      </w:r>
      <w:r>
        <w:rPr>
          <w:sz w:val="16"/>
          <w:szCs w:val="16"/>
          <w:lang w:val="en-AE"/>
        </w:rPr>
        <w:tab/>
      </w:r>
      <w:r w:rsidRPr="00D06961">
        <w:rPr>
          <w:sz w:val="16"/>
          <w:szCs w:val="16"/>
          <w:lang w:val="en-AE"/>
        </w:rPr>
        <w:t xml:space="preserve">L. </w:t>
      </w:r>
      <w:proofErr w:type="spellStart"/>
      <w:r w:rsidRPr="00D06961">
        <w:rPr>
          <w:sz w:val="16"/>
          <w:szCs w:val="16"/>
          <w:lang w:val="en-AE"/>
        </w:rPr>
        <w:t>Breiman</w:t>
      </w:r>
      <w:proofErr w:type="spellEnd"/>
      <w:r w:rsidRPr="00D06961">
        <w:rPr>
          <w:sz w:val="16"/>
          <w:szCs w:val="16"/>
          <w:lang w:val="en-AE"/>
        </w:rPr>
        <w:t xml:space="preserve">, “Random forests,” </w:t>
      </w:r>
      <w:r w:rsidRPr="00D06961">
        <w:rPr>
          <w:i/>
          <w:iCs/>
          <w:sz w:val="16"/>
          <w:szCs w:val="16"/>
          <w:lang w:val="en-AE"/>
        </w:rPr>
        <w:t>Machine Learning</w:t>
      </w:r>
      <w:r w:rsidRPr="00D06961">
        <w:rPr>
          <w:sz w:val="16"/>
          <w:szCs w:val="16"/>
          <w:lang w:val="en-AE"/>
        </w:rPr>
        <w:t>, vol. 45, no. 1, pp. 5–32, 2001.</w:t>
      </w:r>
    </w:p>
    <w:p w14:paraId="11DFBD27" w14:textId="77777777" w:rsidR="003202C9" w:rsidRPr="00D06961" w:rsidRDefault="003202C9" w:rsidP="003202C9">
      <w:pPr>
        <w:pStyle w:val="BodyText"/>
        <w:tabs>
          <w:tab w:val="clear" w:pos="288"/>
        </w:tabs>
        <w:spacing w:after="6"/>
        <w:ind w:left="432" w:hanging="450"/>
        <w:rPr>
          <w:sz w:val="16"/>
          <w:szCs w:val="16"/>
          <w:lang w:val="en-AE"/>
        </w:rPr>
      </w:pPr>
      <w:r w:rsidRPr="00D06961">
        <w:rPr>
          <w:sz w:val="16"/>
          <w:szCs w:val="16"/>
          <w:lang w:val="en-AE"/>
        </w:rPr>
        <w:t xml:space="preserve">[11] </w:t>
      </w:r>
      <w:r>
        <w:rPr>
          <w:sz w:val="16"/>
          <w:szCs w:val="16"/>
          <w:lang w:val="en-AE"/>
        </w:rPr>
        <w:tab/>
      </w:r>
      <w:r w:rsidRPr="00D06961">
        <w:rPr>
          <w:sz w:val="16"/>
          <w:szCs w:val="16"/>
          <w:lang w:val="en-AE"/>
        </w:rPr>
        <w:t xml:space="preserve">A. Abedi, T. J. F. Colella, M. </w:t>
      </w:r>
      <w:proofErr w:type="spellStart"/>
      <w:r w:rsidRPr="00D06961">
        <w:rPr>
          <w:sz w:val="16"/>
          <w:szCs w:val="16"/>
          <w:lang w:val="en-AE"/>
        </w:rPr>
        <w:t>Pakosh</w:t>
      </w:r>
      <w:proofErr w:type="spellEnd"/>
      <w:r w:rsidRPr="00D06961">
        <w:rPr>
          <w:sz w:val="16"/>
          <w:szCs w:val="16"/>
          <w:lang w:val="en-AE"/>
        </w:rPr>
        <w:t xml:space="preserve">, and S. S. Khan, “Artificial intelligence–driven virtual rehabilitation for people living in the community: A scoping review,” </w:t>
      </w:r>
      <w:proofErr w:type="spellStart"/>
      <w:r w:rsidRPr="00D06961">
        <w:rPr>
          <w:i/>
          <w:iCs/>
          <w:sz w:val="16"/>
          <w:szCs w:val="16"/>
          <w:lang w:val="en-AE"/>
        </w:rPr>
        <w:t>npj</w:t>
      </w:r>
      <w:proofErr w:type="spellEnd"/>
      <w:r w:rsidRPr="00D06961">
        <w:rPr>
          <w:i/>
          <w:iCs/>
          <w:sz w:val="16"/>
          <w:szCs w:val="16"/>
          <w:lang w:val="en-AE"/>
        </w:rPr>
        <w:t xml:space="preserve"> Digital Medicine</w:t>
      </w:r>
      <w:r w:rsidRPr="00D06961">
        <w:rPr>
          <w:sz w:val="16"/>
          <w:szCs w:val="16"/>
          <w:lang w:val="en-AE"/>
        </w:rPr>
        <w:t>, vol. 7, 2024.</w:t>
      </w:r>
    </w:p>
    <w:p w14:paraId="4F68311F" w14:textId="77777777" w:rsidR="003202C9" w:rsidRPr="00D06961" w:rsidRDefault="003202C9" w:rsidP="003202C9">
      <w:pPr>
        <w:pStyle w:val="BodyText"/>
        <w:tabs>
          <w:tab w:val="clear" w:pos="288"/>
        </w:tabs>
        <w:spacing w:after="6"/>
        <w:ind w:left="432" w:hanging="450"/>
        <w:rPr>
          <w:sz w:val="16"/>
          <w:szCs w:val="16"/>
          <w:lang w:val="en-AE"/>
        </w:rPr>
      </w:pPr>
      <w:r w:rsidRPr="00D06961">
        <w:rPr>
          <w:sz w:val="16"/>
          <w:szCs w:val="16"/>
          <w:lang w:val="en-AE"/>
        </w:rPr>
        <w:t xml:space="preserve">[12] </w:t>
      </w:r>
      <w:r>
        <w:rPr>
          <w:sz w:val="16"/>
          <w:szCs w:val="16"/>
          <w:lang w:val="en-AE"/>
        </w:rPr>
        <w:tab/>
      </w:r>
      <w:r w:rsidRPr="00D06961">
        <w:rPr>
          <w:sz w:val="16"/>
          <w:szCs w:val="16"/>
          <w:lang w:val="en-AE"/>
        </w:rPr>
        <w:t xml:space="preserve">S. Lee et al., “Machine learning approaches for rehabilitation triage and outcome prediction using structured EMR data,” </w:t>
      </w:r>
      <w:r w:rsidRPr="00D06961">
        <w:rPr>
          <w:i/>
          <w:iCs/>
          <w:sz w:val="16"/>
          <w:szCs w:val="16"/>
          <w:lang w:val="en-AE"/>
        </w:rPr>
        <w:t>Artificial Intelligence in Medicine</w:t>
      </w:r>
      <w:r w:rsidRPr="00D06961">
        <w:rPr>
          <w:sz w:val="16"/>
          <w:szCs w:val="16"/>
          <w:lang w:val="en-AE"/>
        </w:rPr>
        <w:t>, vol. 135, 2023.</w:t>
      </w:r>
    </w:p>
    <w:p w14:paraId="6B3155B0" w14:textId="77777777" w:rsidR="003202C9" w:rsidRPr="00D06961" w:rsidRDefault="003202C9" w:rsidP="003202C9">
      <w:pPr>
        <w:pStyle w:val="BodyText"/>
        <w:tabs>
          <w:tab w:val="clear" w:pos="288"/>
        </w:tabs>
        <w:spacing w:after="6"/>
        <w:ind w:left="432" w:hanging="450"/>
        <w:rPr>
          <w:sz w:val="16"/>
          <w:szCs w:val="16"/>
          <w:lang w:val="en-AE"/>
        </w:rPr>
      </w:pPr>
      <w:r w:rsidRPr="00D06961">
        <w:rPr>
          <w:sz w:val="16"/>
          <w:szCs w:val="16"/>
          <w:lang w:val="en-AE"/>
        </w:rPr>
        <w:t xml:space="preserve">[13] </w:t>
      </w:r>
      <w:r>
        <w:rPr>
          <w:sz w:val="16"/>
          <w:szCs w:val="16"/>
          <w:lang w:val="en-AE"/>
        </w:rPr>
        <w:tab/>
      </w:r>
      <w:r w:rsidRPr="00D06961">
        <w:rPr>
          <w:sz w:val="16"/>
          <w:szCs w:val="16"/>
          <w:lang w:val="en-AE"/>
        </w:rPr>
        <w:t xml:space="preserve">P. Khosravi et al., “AI-driven triage and referral models in rehabilitation medicine,” </w:t>
      </w:r>
      <w:r w:rsidRPr="00D06961">
        <w:rPr>
          <w:i/>
          <w:iCs/>
          <w:sz w:val="16"/>
          <w:szCs w:val="16"/>
          <w:lang w:val="en-AE"/>
        </w:rPr>
        <w:t>Healthcare Analytics</w:t>
      </w:r>
      <w:r w:rsidRPr="00D06961">
        <w:rPr>
          <w:sz w:val="16"/>
          <w:szCs w:val="16"/>
          <w:lang w:val="en-AE"/>
        </w:rPr>
        <w:t>, vol. 3, 2024.</w:t>
      </w:r>
    </w:p>
    <w:p w14:paraId="5EB14290" w14:textId="77777777" w:rsidR="003202C9" w:rsidRPr="00D06961" w:rsidRDefault="003202C9" w:rsidP="003202C9">
      <w:pPr>
        <w:pStyle w:val="BodyText"/>
        <w:tabs>
          <w:tab w:val="clear" w:pos="288"/>
        </w:tabs>
        <w:spacing w:after="6"/>
        <w:ind w:left="432" w:hanging="450"/>
        <w:rPr>
          <w:sz w:val="16"/>
          <w:szCs w:val="16"/>
          <w:lang w:val="en-AE"/>
        </w:rPr>
      </w:pPr>
      <w:r w:rsidRPr="00D06961">
        <w:rPr>
          <w:sz w:val="16"/>
          <w:szCs w:val="16"/>
          <w:lang w:val="en-AE"/>
        </w:rPr>
        <w:t xml:space="preserve">[14] </w:t>
      </w:r>
      <w:r>
        <w:rPr>
          <w:sz w:val="16"/>
          <w:szCs w:val="16"/>
          <w:lang w:val="en-AE"/>
        </w:rPr>
        <w:tab/>
      </w:r>
      <w:r w:rsidRPr="00D06961">
        <w:rPr>
          <w:sz w:val="16"/>
          <w:szCs w:val="16"/>
          <w:lang w:val="en-AE"/>
        </w:rPr>
        <w:t xml:space="preserve">N. </w:t>
      </w:r>
      <w:proofErr w:type="spellStart"/>
      <w:r w:rsidRPr="00D06961">
        <w:rPr>
          <w:sz w:val="16"/>
          <w:szCs w:val="16"/>
          <w:lang w:val="en-AE"/>
        </w:rPr>
        <w:t>Vokinger</w:t>
      </w:r>
      <w:proofErr w:type="spellEnd"/>
      <w:r w:rsidRPr="00D06961">
        <w:rPr>
          <w:sz w:val="16"/>
          <w:szCs w:val="16"/>
          <w:lang w:val="en-AE"/>
        </w:rPr>
        <w:t xml:space="preserve"> et al., “Regulating artificial intelligence in medicine: Ethical and legal challenges,” </w:t>
      </w:r>
      <w:r w:rsidRPr="00D06961">
        <w:rPr>
          <w:i/>
          <w:iCs/>
          <w:sz w:val="16"/>
          <w:szCs w:val="16"/>
          <w:lang w:val="en-AE"/>
        </w:rPr>
        <w:t>The Lancet Digital Health</w:t>
      </w:r>
      <w:r w:rsidRPr="00D06961">
        <w:rPr>
          <w:sz w:val="16"/>
          <w:szCs w:val="16"/>
          <w:lang w:val="en-AE"/>
        </w:rPr>
        <w:t>, vol. 3, no. 2, 2021.</w:t>
      </w:r>
    </w:p>
    <w:p w14:paraId="51537171" w14:textId="77777777" w:rsidR="003202C9" w:rsidRPr="00D06961" w:rsidRDefault="003202C9" w:rsidP="003202C9">
      <w:pPr>
        <w:pStyle w:val="BodyText"/>
        <w:tabs>
          <w:tab w:val="clear" w:pos="288"/>
        </w:tabs>
        <w:spacing w:after="6"/>
        <w:ind w:left="432" w:hanging="450"/>
        <w:rPr>
          <w:sz w:val="12"/>
          <w:szCs w:val="12"/>
        </w:rPr>
      </w:pPr>
      <w:r w:rsidRPr="00D06961">
        <w:rPr>
          <w:sz w:val="16"/>
          <w:szCs w:val="16"/>
          <w:lang w:val="en-AE"/>
        </w:rPr>
        <w:t>[15]</w:t>
      </w:r>
      <w:r>
        <w:rPr>
          <w:sz w:val="16"/>
          <w:szCs w:val="16"/>
          <w:lang w:val="en-AE"/>
        </w:rPr>
        <w:tab/>
      </w:r>
      <w:r w:rsidRPr="00D06961">
        <w:rPr>
          <w:sz w:val="16"/>
          <w:szCs w:val="16"/>
          <w:lang w:val="en-AE"/>
        </w:rPr>
        <w:t xml:space="preserve"> M. A. Montani and L. </w:t>
      </w:r>
      <w:proofErr w:type="spellStart"/>
      <w:r w:rsidRPr="00D06961">
        <w:rPr>
          <w:sz w:val="16"/>
          <w:szCs w:val="16"/>
          <w:lang w:val="en-AE"/>
        </w:rPr>
        <w:t>Striani</w:t>
      </w:r>
      <w:proofErr w:type="spellEnd"/>
      <w:r w:rsidRPr="00D06961">
        <w:rPr>
          <w:sz w:val="16"/>
          <w:szCs w:val="16"/>
          <w:lang w:val="en-AE"/>
        </w:rPr>
        <w:t xml:space="preserve">, “Artificial intelligence in clinical decision support systems,” </w:t>
      </w:r>
      <w:r w:rsidRPr="00D06961">
        <w:rPr>
          <w:i/>
          <w:iCs/>
          <w:sz w:val="16"/>
          <w:szCs w:val="16"/>
          <w:lang w:val="en-AE"/>
        </w:rPr>
        <w:t>Yearbook of Medical Informatics</w:t>
      </w:r>
      <w:r w:rsidRPr="00D06961">
        <w:rPr>
          <w:sz w:val="16"/>
          <w:szCs w:val="16"/>
          <w:lang w:val="en-AE"/>
        </w:rPr>
        <w:t>, vol. 28, no. 1, pp. 120–127, 2019.</w:t>
      </w:r>
    </w:p>
    <w:p w14:paraId="0933E1CF" w14:textId="77777777" w:rsidR="003202C9" w:rsidRPr="00D06961" w:rsidRDefault="003202C9" w:rsidP="003202C9">
      <w:pPr>
        <w:pStyle w:val="BodyText"/>
        <w:tabs>
          <w:tab w:val="clear" w:pos="288"/>
        </w:tabs>
        <w:spacing w:after="6"/>
        <w:ind w:left="432" w:hanging="450"/>
        <w:rPr>
          <w:sz w:val="12"/>
          <w:szCs w:val="12"/>
        </w:rPr>
      </w:pPr>
    </w:p>
    <w:p w14:paraId="266A68F0" w14:textId="77777777" w:rsidR="003202C9" w:rsidRPr="00D06961" w:rsidRDefault="003202C9" w:rsidP="003202C9">
      <w:pPr>
        <w:spacing w:before="100" w:beforeAutospacing="1" w:after="6" w:line="228" w:lineRule="auto"/>
        <w:ind w:left="432"/>
        <w:jc w:val="both"/>
        <w:rPr>
          <w:rFonts w:eastAsia="Times New Roman"/>
          <w:lang w:val="en-AE" w:eastAsia="en-AE"/>
        </w:rPr>
      </w:pPr>
    </w:p>
    <w:p w14:paraId="5B489581" w14:textId="77777777" w:rsidR="003202C9" w:rsidRDefault="003202C9" w:rsidP="003202C9">
      <w:pPr>
        <w:pStyle w:val="ListParagraph"/>
        <w:spacing w:after="6" w:line="228" w:lineRule="auto"/>
        <w:ind w:left="446"/>
        <w:jc w:val="both"/>
        <w:rPr>
          <w:sz w:val="16"/>
          <w:szCs w:val="16"/>
        </w:rPr>
      </w:pPr>
    </w:p>
    <w:p w14:paraId="0A9C594C" w14:textId="77777777" w:rsidR="003202C9" w:rsidRDefault="003202C9" w:rsidP="003202C9">
      <w:pPr>
        <w:pStyle w:val="ListParagraph"/>
        <w:spacing w:after="6" w:line="228" w:lineRule="auto"/>
        <w:ind w:left="446"/>
        <w:jc w:val="both"/>
        <w:rPr>
          <w:sz w:val="16"/>
          <w:szCs w:val="16"/>
        </w:rPr>
      </w:pPr>
    </w:p>
    <w:p w14:paraId="2B1A6D83" w14:textId="77777777" w:rsidR="003202C9" w:rsidRDefault="003202C9" w:rsidP="003202C9">
      <w:pPr>
        <w:pStyle w:val="ListParagraph"/>
        <w:spacing w:after="6" w:line="228" w:lineRule="auto"/>
        <w:ind w:left="446"/>
        <w:jc w:val="both"/>
        <w:rPr>
          <w:sz w:val="16"/>
          <w:szCs w:val="16"/>
        </w:rPr>
      </w:pPr>
    </w:p>
    <w:p w14:paraId="2FE7F735" w14:textId="77777777" w:rsidR="003202C9" w:rsidRDefault="003202C9" w:rsidP="003202C9">
      <w:pPr>
        <w:pStyle w:val="ListParagraph"/>
        <w:spacing w:after="6" w:line="228" w:lineRule="auto"/>
        <w:ind w:left="446"/>
        <w:jc w:val="both"/>
        <w:rPr>
          <w:sz w:val="16"/>
          <w:szCs w:val="16"/>
        </w:rPr>
      </w:pPr>
    </w:p>
    <w:p w14:paraId="71038411" w14:textId="77777777" w:rsidR="003202C9" w:rsidRDefault="003202C9" w:rsidP="003202C9">
      <w:pPr>
        <w:pStyle w:val="ListParagraph"/>
        <w:spacing w:after="6" w:line="228" w:lineRule="auto"/>
        <w:ind w:left="446"/>
        <w:jc w:val="both"/>
        <w:rPr>
          <w:sz w:val="16"/>
          <w:szCs w:val="16"/>
        </w:rPr>
      </w:pPr>
    </w:p>
    <w:p w14:paraId="2EEE7BE2" w14:textId="77777777" w:rsidR="003202C9" w:rsidRDefault="003202C9" w:rsidP="003202C9">
      <w:pPr>
        <w:pStyle w:val="ListParagraph"/>
        <w:spacing w:after="6" w:line="228" w:lineRule="auto"/>
        <w:ind w:left="446"/>
        <w:jc w:val="both"/>
        <w:rPr>
          <w:sz w:val="16"/>
          <w:szCs w:val="16"/>
        </w:rPr>
      </w:pPr>
    </w:p>
    <w:p w14:paraId="0E1362BF" w14:textId="77777777" w:rsidR="003202C9" w:rsidRDefault="003202C9" w:rsidP="003202C9">
      <w:pPr>
        <w:pStyle w:val="ListParagraph"/>
        <w:spacing w:after="6" w:line="228" w:lineRule="auto"/>
        <w:ind w:left="446"/>
        <w:jc w:val="both"/>
        <w:rPr>
          <w:sz w:val="16"/>
          <w:szCs w:val="16"/>
        </w:rPr>
      </w:pPr>
    </w:p>
    <w:p w14:paraId="18C00478" w14:textId="77777777" w:rsidR="003202C9" w:rsidRDefault="003202C9" w:rsidP="003202C9">
      <w:pPr>
        <w:pStyle w:val="ListParagraph"/>
        <w:spacing w:after="6" w:line="228" w:lineRule="auto"/>
        <w:ind w:left="446"/>
        <w:jc w:val="both"/>
        <w:rPr>
          <w:sz w:val="16"/>
          <w:szCs w:val="16"/>
        </w:rPr>
      </w:pPr>
    </w:p>
    <w:p w14:paraId="19782339" w14:textId="77777777" w:rsidR="003202C9" w:rsidRDefault="003202C9" w:rsidP="003202C9">
      <w:pPr>
        <w:pStyle w:val="ListParagraph"/>
        <w:spacing w:after="6" w:line="228" w:lineRule="auto"/>
        <w:ind w:left="446"/>
        <w:jc w:val="both"/>
        <w:rPr>
          <w:sz w:val="16"/>
          <w:szCs w:val="16"/>
        </w:rPr>
      </w:pPr>
    </w:p>
    <w:p w14:paraId="30EBFAF4" w14:textId="77777777" w:rsidR="003202C9" w:rsidRDefault="003202C9" w:rsidP="003202C9">
      <w:pPr>
        <w:pStyle w:val="ListParagraph"/>
        <w:spacing w:after="6" w:line="228" w:lineRule="auto"/>
        <w:ind w:left="446"/>
        <w:jc w:val="both"/>
        <w:rPr>
          <w:sz w:val="16"/>
          <w:szCs w:val="16"/>
        </w:rPr>
      </w:pPr>
    </w:p>
    <w:p w14:paraId="680733C9" w14:textId="77777777" w:rsidR="003202C9" w:rsidRDefault="003202C9" w:rsidP="003202C9">
      <w:pPr>
        <w:pStyle w:val="ListParagraph"/>
        <w:spacing w:after="6" w:line="228" w:lineRule="auto"/>
        <w:ind w:left="446"/>
        <w:jc w:val="both"/>
        <w:rPr>
          <w:sz w:val="16"/>
          <w:szCs w:val="16"/>
        </w:rPr>
      </w:pPr>
    </w:p>
    <w:p w14:paraId="775A9B5B" w14:textId="77777777" w:rsidR="003202C9" w:rsidRDefault="003202C9" w:rsidP="003202C9">
      <w:pPr>
        <w:pStyle w:val="ListParagraph"/>
        <w:spacing w:after="6" w:line="228" w:lineRule="auto"/>
        <w:ind w:left="446"/>
        <w:jc w:val="both"/>
        <w:rPr>
          <w:sz w:val="16"/>
          <w:szCs w:val="16"/>
        </w:rPr>
      </w:pPr>
    </w:p>
    <w:p w14:paraId="6A06DD21" w14:textId="77777777" w:rsidR="003202C9" w:rsidRDefault="003202C9" w:rsidP="003202C9">
      <w:pPr>
        <w:pStyle w:val="ListParagraph"/>
        <w:spacing w:after="6" w:line="228" w:lineRule="auto"/>
        <w:ind w:left="446"/>
        <w:jc w:val="both"/>
        <w:rPr>
          <w:sz w:val="16"/>
          <w:szCs w:val="16"/>
        </w:rPr>
      </w:pPr>
    </w:p>
    <w:p w14:paraId="245E2A8F" w14:textId="77777777" w:rsidR="003202C9" w:rsidRDefault="003202C9" w:rsidP="003202C9">
      <w:pPr>
        <w:pStyle w:val="ListParagraph"/>
        <w:spacing w:after="6" w:line="228" w:lineRule="auto"/>
        <w:ind w:left="446"/>
        <w:jc w:val="both"/>
        <w:rPr>
          <w:sz w:val="16"/>
          <w:szCs w:val="16"/>
        </w:rPr>
      </w:pPr>
    </w:p>
    <w:p w14:paraId="4B93752F" w14:textId="77777777" w:rsidR="003202C9" w:rsidRDefault="003202C9" w:rsidP="003202C9">
      <w:pPr>
        <w:pStyle w:val="ListParagraph"/>
        <w:spacing w:after="6" w:line="228" w:lineRule="auto"/>
        <w:ind w:left="446"/>
        <w:jc w:val="both"/>
        <w:rPr>
          <w:sz w:val="16"/>
          <w:szCs w:val="16"/>
        </w:rPr>
      </w:pPr>
    </w:p>
    <w:p w14:paraId="73035F9E" w14:textId="77777777" w:rsidR="003202C9" w:rsidRDefault="003202C9" w:rsidP="003202C9">
      <w:pPr>
        <w:pStyle w:val="ListParagraph"/>
        <w:spacing w:after="6" w:line="228" w:lineRule="auto"/>
        <w:ind w:left="446"/>
        <w:jc w:val="both"/>
        <w:rPr>
          <w:sz w:val="16"/>
          <w:szCs w:val="16"/>
        </w:rPr>
      </w:pPr>
    </w:p>
    <w:p w14:paraId="63781E8B" w14:textId="77777777" w:rsidR="003202C9" w:rsidRDefault="003202C9" w:rsidP="003202C9">
      <w:pPr>
        <w:pStyle w:val="ListParagraph"/>
        <w:spacing w:after="6" w:line="228" w:lineRule="auto"/>
        <w:ind w:left="446"/>
        <w:jc w:val="both"/>
        <w:rPr>
          <w:sz w:val="16"/>
          <w:szCs w:val="16"/>
        </w:rPr>
      </w:pPr>
    </w:p>
    <w:p w14:paraId="123894F0" w14:textId="77777777" w:rsidR="003202C9" w:rsidRDefault="003202C9" w:rsidP="003202C9">
      <w:pPr>
        <w:pStyle w:val="ListParagraph"/>
        <w:spacing w:after="6" w:line="228" w:lineRule="auto"/>
        <w:ind w:left="446"/>
        <w:jc w:val="both"/>
        <w:rPr>
          <w:sz w:val="16"/>
          <w:szCs w:val="16"/>
        </w:rPr>
      </w:pPr>
    </w:p>
    <w:p w14:paraId="1FB677E2" w14:textId="77777777" w:rsidR="003202C9" w:rsidRDefault="003202C9" w:rsidP="003202C9">
      <w:pPr>
        <w:pStyle w:val="ListParagraph"/>
        <w:spacing w:after="6" w:line="228" w:lineRule="auto"/>
        <w:ind w:left="446"/>
        <w:jc w:val="both"/>
        <w:rPr>
          <w:sz w:val="16"/>
          <w:szCs w:val="16"/>
        </w:rPr>
      </w:pPr>
    </w:p>
    <w:p w14:paraId="3621D186" w14:textId="77777777" w:rsidR="003202C9" w:rsidRDefault="003202C9" w:rsidP="003202C9">
      <w:pPr>
        <w:pStyle w:val="ListParagraph"/>
        <w:spacing w:after="6" w:line="228" w:lineRule="auto"/>
        <w:ind w:left="446"/>
        <w:jc w:val="both"/>
        <w:rPr>
          <w:sz w:val="16"/>
          <w:szCs w:val="16"/>
        </w:rPr>
      </w:pPr>
    </w:p>
    <w:p w14:paraId="4A6FD2E7" w14:textId="77777777" w:rsidR="003202C9" w:rsidRDefault="003202C9" w:rsidP="003202C9">
      <w:pPr>
        <w:pStyle w:val="ListParagraph"/>
        <w:spacing w:after="6" w:line="228" w:lineRule="auto"/>
        <w:ind w:left="446"/>
        <w:jc w:val="both"/>
        <w:rPr>
          <w:sz w:val="16"/>
          <w:szCs w:val="16"/>
        </w:rPr>
      </w:pPr>
    </w:p>
    <w:p w14:paraId="3EFABDDC" w14:textId="77777777" w:rsidR="003202C9" w:rsidRDefault="003202C9" w:rsidP="003202C9">
      <w:pPr>
        <w:pStyle w:val="ListParagraph"/>
        <w:spacing w:after="6" w:line="228" w:lineRule="auto"/>
        <w:ind w:left="446"/>
        <w:jc w:val="both"/>
        <w:rPr>
          <w:sz w:val="16"/>
          <w:szCs w:val="16"/>
        </w:rPr>
      </w:pPr>
    </w:p>
    <w:p w14:paraId="345287E0" w14:textId="77777777" w:rsidR="003202C9" w:rsidRDefault="003202C9" w:rsidP="003202C9">
      <w:pPr>
        <w:pStyle w:val="ListParagraph"/>
        <w:spacing w:after="6" w:line="228" w:lineRule="auto"/>
        <w:ind w:left="446"/>
        <w:jc w:val="both"/>
        <w:rPr>
          <w:sz w:val="16"/>
          <w:szCs w:val="16"/>
        </w:rPr>
      </w:pPr>
    </w:p>
    <w:p w14:paraId="5D3365E1" w14:textId="77777777" w:rsidR="003202C9" w:rsidRDefault="003202C9" w:rsidP="003202C9">
      <w:pPr>
        <w:pStyle w:val="ListParagraph"/>
        <w:spacing w:after="6" w:line="228" w:lineRule="auto"/>
        <w:ind w:left="446"/>
        <w:jc w:val="both"/>
        <w:rPr>
          <w:sz w:val="16"/>
          <w:szCs w:val="16"/>
        </w:rPr>
      </w:pPr>
    </w:p>
    <w:p w14:paraId="17D849D9" w14:textId="77777777" w:rsidR="003202C9" w:rsidRDefault="003202C9" w:rsidP="003202C9">
      <w:pPr>
        <w:pStyle w:val="ListParagraph"/>
        <w:spacing w:after="6" w:line="228" w:lineRule="auto"/>
        <w:ind w:left="446"/>
        <w:jc w:val="both"/>
        <w:rPr>
          <w:sz w:val="16"/>
          <w:szCs w:val="16"/>
        </w:rPr>
      </w:pPr>
    </w:p>
    <w:p w14:paraId="5F95CCE4" w14:textId="77777777" w:rsidR="003202C9" w:rsidRDefault="003202C9" w:rsidP="003202C9">
      <w:pPr>
        <w:pStyle w:val="ListParagraph"/>
        <w:spacing w:after="6" w:line="228" w:lineRule="auto"/>
        <w:ind w:left="446"/>
        <w:jc w:val="both"/>
        <w:rPr>
          <w:sz w:val="16"/>
          <w:szCs w:val="16"/>
        </w:rPr>
      </w:pPr>
    </w:p>
    <w:p w14:paraId="10E23679" w14:textId="77777777" w:rsidR="003202C9" w:rsidRDefault="003202C9" w:rsidP="003202C9">
      <w:pPr>
        <w:pStyle w:val="ListParagraph"/>
        <w:spacing w:after="6" w:line="228" w:lineRule="auto"/>
        <w:ind w:left="446"/>
        <w:jc w:val="both"/>
        <w:rPr>
          <w:sz w:val="16"/>
          <w:szCs w:val="16"/>
        </w:rPr>
      </w:pPr>
    </w:p>
    <w:p w14:paraId="51508C29" w14:textId="77777777" w:rsidR="003202C9" w:rsidRDefault="003202C9" w:rsidP="003202C9">
      <w:pPr>
        <w:pStyle w:val="ListParagraph"/>
        <w:spacing w:after="6" w:line="228" w:lineRule="auto"/>
        <w:ind w:left="446"/>
        <w:jc w:val="both"/>
        <w:rPr>
          <w:sz w:val="16"/>
          <w:szCs w:val="16"/>
        </w:rPr>
      </w:pPr>
    </w:p>
    <w:p w14:paraId="1A1DD052" w14:textId="77777777" w:rsidR="003202C9" w:rsidRDefault="003202C9" w:rsidP="003202C9">
      <w:pPr>
        <w:pStyle w:val="ListParagraph"/>
        <w:spacing w:after="6" w:line="228" w:lineRule="auto"/>
        <w:ind w:left="446"/>
        <w:jc w:val="both"/>
        <w:rPr>
          <w:sz w:val="16"/>
          <w:szCs w:val="16"/>
        </w:rPr>
      </w:pPr>
    </w:p>
    <w:p w14:paraId="04CDA1F3" w14:textId="77777777" w:rsidR="003202C9" w:rsidRDefault="003202C9" w:rsidP="003202C9">
      <w:pPr>
        <w:pStyle w:val="ListParagraph"/>
        <w:spacing w:after="6" w:line="228" w:lineRule="auto"/>
        <w:ind w:left="446"/>
        <w:jc w:val="both"/>
        <w:rPr>
          <w:sz w:val="16"/>
          <w:szCs w:val="16"/>
        </w:rPr>
      </w:pPr>
    </w:p>
    <w:p w14:paraId="5FCA97AE" w14:textId="77777777" w:rsidR="003202C9" w:rsidRDefault="003202C9" w:rsidP="003202C9">
      <w:pPr>
        <w:pStyle w:val="ListParagraph"/>
        <w:spacing w:after="6" w:line="228" w:lineRule="auto"/>
        <w:ind w:left="446"/>
        <w:jc w:val="both"/>
        <w:rPr>
          <w:sz w:val="16"/>
          <w:szCs w:val="16"/>
        </w:rPr>
      </w:pPr>
    </w:p>
    <w:p w14:paraId="7A29D516" w14:textId="77777777" w:rsidR="003202C9" w:rsidRDefault="003202C9" w:rsidP="003202C9">
      <w:pPr>
        <w:pStyle w:val="ListParagraph"/>
        <w:spacing w:after="6" w:line="228" w:lineRule="auto"/>
        <w:ind w:left="446"/>
        <w:jc w:val="both"/>
        <w:rPr>
          <w:sz w:val="16"/>
          <w:szCs w:val="16"/>
        </w:rPr>
      </w:pPr>
    </w:p>
    <w:p w14:paraId="31E095E5" w14:textId="77777777" w:rsidR="003202C9" w:rsidRDefault="003202C9" w:rsidP="003202C9">
      <w:pPr>
        <w:pStyle w:val="ListParagraph"/>
        <w:spacing w:after="6" w:line="228" w:lineRule="auto"/>
        <w:ind w:left="446"/>
        <w:jc w:val="both"/>
        <w:rPr>
          <w:sz w:val="16"/>
          <w:szCs w:val="16"/>
        </w:rPr>
      </w:pPr>
    </w:p>
    <w:p w14:paraId="0FE3310F" w14:textId="77777777" w:rsidR="003202C9" w:rsidRDefault="003202C9" w:rsidP="003202C9">
      <w:pPr>
        <w:pStyle w:val="ListParagraph"/>
        <w:spacing w:after="6" w:line="228" w:lineRule="auto"/>
        <w:ind w:left="446"/>
        <w:jc w:val="both"/>
        <w:rPr>
          <w:sz w:val="16"/>
          <w:szCs w:val="16"/>
        </w:rPr>
      </w:pPr>
    </w:p>
    <w:p w14:paraId="19DDCF23" w14:textId="77777777" w:rsidR="003202C9" w:rsidRDefault="003202C9" w:rsidP="003202C9">
      <w:pPr>
        <w:pStyle w:val="ListParagraph"/>
        <w:spacing w:after="6" w:line="228" w:lineRule="auto"/>
        <w:ind w:left="446"/>
        <w:jc w:val="both"/>
        <w:rPr>
          <w:sz w:val="16"/>
          <w:szCs w:val="16"/>
        </w:rPr>
      </w:pPr>
    </w:p>
    <w:p w14:paraId="6D603E84" w14:textId="77777777" w:rsidR="003202C9" w:rsidRDefault="003202C9" w:rsidP="003202C9">
      <w:pPr>
        <w:pStyle w:val="ListParagraph"/>
        <w:spacing w:after="6" w:line="228" w:lineRule="auto"/>
        <w:ind w:left="446"/>
        <w:jc w:val="both"/>
        <w:rPr>
          <w:sz w:val="16"/>
          <w:szCs w:val="16"/>
        </w:rPr>
      </w:pPr>
    </w:p>
    <w:p w14:paraId="204B2EC3" w14:textId="77777777" w:rsidR="003202C9" w:rsidRDefault="003202C9" w:rsidP="003202C9">
      <w:pPr>
        <w:pStyle w:val="ListParagraph"/>
        <w:spacing w:after="6" w:line="228" w:lineRule="auto"/>
        <w:ind w:left="446"/>
        <w:jc w:val="both"/>
        <w:rPr>
          <w:sz w:val="16"/>
          <w:szCs w:val="16"/>
        </w:rPr>
      </w:pPr>
    </w:p>
    <w:p w14:paraId="7F4DBC63" w14:textId="77777777" w:rsidR="003202C9" w:rsidRDefault="003202C9" w:rsidP="003202C9">
      <w:pPr>
        <w:pStyle w:val="ListParagraph"/>
        <w:spacing w:after="6" w:line="228" w:lineRule="auto"/>
        <w:ind w:left="446"/>
        <w:jc w:val="both"/>
        <w:rPr>
          <w:sz w:val="16"/>
          <w:szCs w:val="16"/>
        </w:rPr>
      </w:pPr>
    </w:p>
    <w:p w14:paraId="64412217" w14:textId="77777777" w:rsidR="003202C9" w:rsidRDefault="003202C9" w:rsidP="003202C9">
      <w:pPr>
        <w:pStyle w:val="ListParagraph"/>
        <w:spacing w:after="6" w:line="228" w:lineRule="auto"/>
        <w:ind w:left="446"/>
        <w:jc w:val="both"/>
        <w:rPr>
          <w:sz w:val="16"/>
          <w:szCs w:val="16"/>
        </w:rPr>
      </w:pPr>
    </w:p>
    <w:p w14:paraId="31C5BD93" w14:textId="77777777" w:rsidR="003202C9" w:rsidRDefault="003202C9" w:rsidP="003202C9">
      <w:pPr>
        <w:pStyle w:val="ListParagraph"/>
        <w:spacing w:after="6" w:line="228" w:lineRule="auto"/>
        <w:ind w:left="446"/>
        <w:jc w:val="both"/>
        <w:rPr>
          <w:sz w:val="16"/>
          <w:szCs w:val="16"/>
        </w:rPr>
      </w:pPr>
    </w:p>
    <w:p w14:paraId="0A06757D" w14:textId="77777777" w:rsidR="003202C9" w:rsidRDefault="003202C9" w:rsidP="003202C9">
      <w:pPr>
        <w:pStyle w:val="ListParagraph"/>
        <w:spacing w:after="6" w:line="228" w:lineRule="auto"/>
        <w:ind w:left="446"/>
        <w:jc w:val="both"/>
        <w:rPr>
          <w:sz w:val="16"/>
          <w:szCs w:val="16"/>
        </w:rPr>
      </w:pPr>
    </w:p>
    <w:p w14:paraId="34D60205" w14:textId="77777777" w:rsidR="003202C9" w:rsidRDefault="003202C9" w:rsidP="003202C9">
      <w:pPr>
        <w:pStyle w:val="ListParagraph"/>
        <w:spacing w:after="6" w:line="228" w:lineRule="auto"/>
        <w:ind w:left="446"/>
        <w:jc w:val="both"/>
        <w:rPr>
          <w:sz w:val="16"/>
          <w:szCs w:val="16"/>
        </w:rPr>
      </w:pPr>
    </w:p>
    <w:p w14:paraId="111849D8" w14:textId="77777777" w:rsidR="003202C9" w:rsidRDefault="003202C9" w:rsidP="003202C9">
      <w:pPr>
        <w:pStyle w:val="ListParagraph"/>
        <w:spacing w:after="6" w:line="228" w:lineRule="auto"/>
        <w:ind w:left="446"/>
        <w:jc w:val="both"/>
        <w:rPr>
          <w:sz w:val="16"/>
          <w:szCs w:val="16"/>
        </w:rPr>
      </w:pPr>
    </w:p>
    <w:p w14:paraId="6BD596A4" w14:textId="77777777" w:rsidR="003202C9" w:rsidRDefault="003202C9" w:rsidP="003202C9">
      <w:pPr>
        <w:pStyle w:val="ListParagraph"/>
        <w:spacing w:after="6" w:line="228" w:lineRule="auto"/>
        <w:ind w:left="446"/>
        <w:jc w:val="both"/>
        <w:rPr>
          <w:sz w:val="16"/>
          <w:szCs w:val="16"/>
        </w:rPr>
      </w:pPr>
    </w:p>
    <w:p w14:paraId="7C01141A" w14:textId="77777777" w:rsidR="003202C9" w:rsidRDefault="003202C9" w:rsidP="003202C9">
      <w:pPr>
        <w:pStyle w:val="ListParagraph"/>
        <w:spacing w:after="6" w:line="228" w:lineRule="auto"/>
        <w:ind w:left="446"/>
        <w:jc w:val="both"/>
        <w:rPr>
          <w:sz w:val="16"/>
          <w:szCs w:val="16"/>
        </w:rPr>
      </w:pPr>
    </w:p>
    <w:p w14:paraId="506D1378" w14:textId="77777777" w:rsidR="003202C9" w:rsidRDefault="003202C9" w:rsidP="003202C9">
      <w:pPr>
        <w:pStyle w:val="ListParagraph"/>
        <w:spacing w:after="6" w:line="228" w:lineRule="auto"/>
        <w:ind w:left="446"/>
        <w:jc w:val="both"/>
        <w:rPr>
          <w:sz w:val="16"/>
          <w:szCs w:val="16"/>
        </w:rPr>
      </w:pPr>
    </w:p>
    <w:p w14:paraId="0390BD56" w14:textId="77777777" w:rsidR="003202C9" w:rsidRDefault="003202C9" w:rsidP="003202C9">
      <w:pPr>
        <w:pStyle w:val="ListParagraph"/>
        <w:spacing w:after="6" w:line="228" w:lineRule="auto"/>
        <w:ind w:left="446"/>
        <w:jc w:val="both"/>
        <w:rPr>
          <w:sz w:val="16"/>
          <w:szCs w:val="16"/>
        </w:rPr>
      </w:pPr>
    </w:p>
    <w:p w14:paraId="62BC3E71" w14:textId="77777777" w:rsidR="003202C9" w:rsidRDefault="003202C9" w:rsidP="003202C9">
      <w:pPr>
        <w:pStyle w:val="ListParagraph"/>
        <w:spacing w:after="6" w:line="228" w:lineRule="auto"/>
        <w:ind w:left="446"/>
        <w:jc w:val="both"/>
        <w:rPr>
          <w:sz w:val="16"/>
          <w:szCs w:val="16"/>
        </w:rPr>
      </w:pPr>
    </w:p>
    <w:p w14:paraId="6AB469B6" w14:textId="77777777" w:rsidR="003202C9" w:rsidRDefault="003202C9" w:rsidP="003202C9">
      <w:pPr>
        <w:pStyle w:val="ListParagraph"/>
        <w:spacing w:after="6" w:line="228" w:lineRule="auto"/>
        <w:ind w:left="446"/>
        <w:jc w:val="both"/>
        <w:rPr>
          <w:sz w:val="16"/>
          <w:szCs w:val="16"/>
        </w:rPr>
      </w:pPr>
    </w:p>
    <w:p w14:paraId="26486434" w14:textId="77777777" w:rsidR="003202C9" w:rsidRDefault="003202C9" w:rsidP="003202C9">
      <w:pPr>
        <w:pStyle w:val="ListParagraph"/>
        <w:spacing w:after="6" w:line="228" w:lineRule="auto"/>
        <w:ind w:left="446"/>
        <w:jc w:val="both"/>
        <w:rPr>
          <w:sz w:val="16"/>
          <w:szCs w:val="16"/>
        </w:rPr>
      </w:pPr>
    </w:p>
    <w:p w14:paraId="4238E6BF" w14:textId="77777777" w:rsidR="003202C9" w:rsidRDefault="003202C9" w:rsidP="003202C9">
      <w:pPr>
        <w:pStyle w:val="ListParagraph"/>
        <w:spacing w:after="6" w:line="228" w:lineRule="auto"/>
        <w:ind w:left="446"/>
        <w:jc w:val="both"/>
        <w:rPr>
          <w:sz w:val="16"/>
          <w:szCs w:val="16"/>
        </w:rPr>
      </w:pPr>
    </w:p>
    <w:p w14:paraId="1BF90EA5" w14:textId="77777777" w:rsidR="003202C9" w:rsidRDefault="003202C9" w:rsidP="003202C9">
      <w:pPr>
        <w:pStyle w:val="ListParagraph"/>
        <w:spacing w:after="6" w:line="228" w:lineRule="auto"/>
        <w:ind w:left="446"/>
        <w:jc w:val="both"/>
        <w:rPr>
          <w:sz w:val="16"/>
          <w:szCs w:val="16"/>
        </w:rPr>
      </w:pPr>
    </w:p>
    <w:p w14:paraId="3CB3A0F0" w14:textId="77777777" w:rsidR="003202C9" w:rsidRDefault="003202C9" w:rsidP="003202C9">
      <w:pPr>
        <w:pStyle w:val="ListParagraph"/>
        <w:spacing w:after="6" w:line="228" w:lineRule="auto"/>
        <w:ind w:left="446"/>
        <w:jc w:val="both"/>
        <w:rPr>
          <w:sz w:val="16"/>
          <w:szCs w:val="16"/>
        </w:rPr>
      </w:pPr>
    </w:p>
    <w:p w14:paraId="5231FE96" w14:textId="77777777" w:rsidR="003202C9" w:rsidRDefault="003202C9" w:rsidP="003202C9">
      <w:pPr>
        <w:pStyle w:val="ListParagraph"/>
        <w:spacing w:after="6" w:line="228" w:lineRule="auto"/>
        <w:ind w:left="446"/>
        <w:jc w:val="both"/>
        <w:rPr>
          <w:sz w:val="16"/>
          <w:szCs w:val="16"/>
        </w:rPr>
      </w:pPr>
    </w:p>
    <w:p w14:paraId="6300B3CE" w14:textId="77777777" w:rsidR="003202C9" w:rsidRDefault="003202C9" w:rsidP="003202C9">
      <w:pPr>
        <w:pStyle w:val="ListParagraph"/>
        <w:spacing w:after="6" w:line="228" w:lineRule="auto"/>
        <w:ind w:left="446"/>
        <w:jc w:val="both"/>
        <w:rPr>
          <w:sz w:val="16"/>
          <w:szCs w:val="16"/>
        </w:rPr>
      </w:pPr>
    </w:p>
    <w:p w14:paraId="2CFED495" w14:textId="77777777" w:rsidR="003202C9" w:rsidRDefault="003202C9" w:rsidP="003202C9">
      <w:pPr>
        <w:pStyle w:val="ListParagraph"/>
        <w:spacing w:after="6" w:line="228" w:lineRule="auto"/>
        <w:ind w:left="446"/>
        <w:jc w:val="both"/>
        <w:rPr>
          <w:sz w:val="16"/>
          <w:szCs w:val="16"/>
        </w:rPr>
      </w:pPr>
    </w:p>
    <w:p w14:paraId="472E1D70" w14:textId="77777777" w:rsidR="003202C9" w:rsidRDefault="003202C9" w:rsidP="003202C9">
      <w:pPr>
        <w:pStyle w:val="ListParagraph"/>
        <w:spacing w:after="6" w:line="228" w:lineRule="auto"/>
        <w:ind w:left="446"/>
        <w:jc w:val="both"/>
        <w:rPr>
          <w:sz w:val="16"/>
          <w:szCs w:val="16"/>
        </w:rPr>
      </w:pPr>
    </w:p>
    <w:p w14:paraId="6FC6C90C" w14:textId="77777777" w:rsidR="009303D9" w:rsidRPr="003202C9" w:rsidRDefault="009303D9" w:rsidP="003202C9">
      <w:pPr>
        <w:jc w:val="both"/>
      </w:pPr>
    </w:p>
    <w:sectPr w:rsidR="009303D9" w:rsidRPr="003202C9" w:rsidSect="003202C9">
      <w:footerReference w:type="first" r:id="rId12"/>
      <w:type w:val="continuous"/>
      <w:pgSz w:w="12240" w:h="15840" w:code="1"/>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F70E" w14:textId="77777777" w:rsidR="000066F6" w:rsidRDefault="000066F6" w:rsidP="001A3B3D">
      <w:r>
        <w:separator/>
      </w:r>
    </w:p>
  </w:endnote>
  <w:endnote w:type="continuationSeparator" w:id="0">
    <w:p w14:paraId="6C5D8E40" w14:textId="77777777" w:rsidR="000066F6" w:rsidRDefault="000066F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251245"/>
      <w:docPartObj>
        <w:docPartGallery w:val="Page Numbers (Bottom of Page)"/>
        <w:docPartUnique/>
      </w:docPartObj>
    </w:sdtPr>
    <w:sdtEndPr>
      <w:rPr>
        <w:noProof/>
      </w:rPr>
    </w:sdtEndPr>
    <w:sdtContent>
      <w:p w14:paraId="1327C51D" w14:textId="77777777" w:rsidR="003202C9" w:rsidRDefault="003202C9">
        <w:pPr>
          <w:pStyle w:val="Footer"/>
        </w:pPr>
        <w:r>
          <w:fldChar w:fldCharType="begin"/>
        </w:r>
        <w:r>
          <w:instrText xml:space="preserve"> PAGE   \* MERGEFORMAT </w:instrText>
        </w:r>
        <w:r>
          <w:fldChar w:fldCharType="separate"/>
        </w:r>
        <w:r>
          <w:rPr>
            <w:noProof/>
          </w:rPr>
          <w:t>2</w:t>
        </w:r>
        <w:r>
          <w:rPr>
            <w:noProof/>
          </w:rPr>
          <w:fldChar w:fldCharType="end"/>
        </w:r>
      </w:p>
    </w:sdtContent>
  </w:sdt>
  <w:p w14:paraId="77C19A4F" w14:textId="77777777" w:rsidR="003202C9" w:rsidRDefault="003202C9" w:rsidP="009C6F30">
    <w:pPr>
      <w:pStyle w:val="Heading7"/>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2752" w14:textId="77777777" w:rsidR="003202C9" w:rsidRPr="006F6D3D" w:rsidRDefault="003202C9" w:rsidP="0056610F">
    <w:pPr>
      <w:pStyle w:val="Footer"/>
      <w:jc w:val="left"/>
      <w:rPr>
        <w:sz w:val="16"/>
        <w:szCs w:val="16"/>
      </w:rPr>
    </w:pPr>
    <w:r w:rsidRPr="006F6D3D">
      <w:rPr>
        <w:sz w:val="16"/>
        <w:szCs w:val="16"/>
      </w:rPr>
      <w:t>XXX-X-XXXX-XXXX-X/XX/$XX.00 ©20XX IEEE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1F62"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55E6" w14:textId="77777777" w:rsidR="000066F6" w:rsidRDefault="000066F6" w:rsidP="001A3B3D">
      <w:r>
        <w:separator/>
      </w:r>
    </w:p>
  </w:footnote>
  <w:footnote w:type="continuationSeparator" w:id="0">
    <w:p w14:paraId="1F4D63CC" w14:textId="77777777" w:rsidR="000066F6" w:rsidRDefault="000066F6"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1E431A49"/>
    <w:multiLevelType w:val="multilevel"/>
    <w:tmpl w:val="22E62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5736957"/>
    <w:multiLevelType w:val="multilevel"/>
    <w:tmpl w:val="196E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193111C"/>
    <w:multiLevelType w:val="multilevel"/>
    <w:tmpl w:val="1EA4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5321"/>
        </w:tabs>
        <w:ind w:left="5321" w:hanging="360"/>
      </w:pPr>
      <w:rPr>
        <w:rFonts w:ascii="Symbol" w:hAnsi="Symbol" w:hint="default"/>
      </w:rPr>
    </w:lvl>
    <w:lvl w:ilvl="1" w:tplc="04090003">
      <w:start w:val="1"/>
      <w:numFmt w:val="bullet"/>
      <w:lvlText w:val="o"/>
      <w:lvlJc w:val="left"/>
      <w:pPr>
        <w:tabs>
          <w:tab w:val="num" w:pos="6113"/>
        </w:tabs>
        <w:ind w:left="6113" w:hanging="360"/>
      </w:pPr>
      <w:rPr>
        <w:rFonts w:ascii="Courier New" w:hAnsi="Courier New" w:hint="default"/>
      </w:rPr>
    </w:lvl>
    <w:lvl w:ilvl="2" w:tplc="04090005">
      <w:start w:val="1"/>
      <w:numFmt w:val="bullet"/>
      <w:lvlText w:val=""/>
      <w:lvlJc w:val="left"/>
      <w:pPr>
        <w:tabs>
          <w:tab w:val="num" w:pos="6833"/>
        </w:tabs>
        <w:ind w:left="6833" w:hanging="360"/>
      </w:pPr>
      <w:rPr>
        <w:rFonts w:ascii="Wingdings" w:hAnsi="Wingdings" w:hint="default"/>
      </w:rPr>
    </w:lvl>
    <w:lvl w:ilvl="3" w:tplc="04090001">
      <w:start w:val="1"/>
      <w:numFmt w:val="bullet"/>
      <w:lvlText w:val=""/>
      <w:lvlJc w:val="left"/>
      <w:pPr>
        <w:tabs>
          <w:tab w:val="num" w:pos="7553"/>
        </w:tabs>
        <w:ind w:left="7553" w:hanging="360"/>
      </w:pPr>
      <w:rPr>
        <w:rFonts w:ascii="Symbol" w:hAnsi="Symbol" w:hint="default"/>
      </w:rPr>
    </w:lvl>
    <w:lvl w:ilvl="4" w:tplc="04090003">
      <w:start w:val="1"/>
      <w:numFmt w:val="bullet"/>
      <w:lvlText w:val="o"/>
      <w:lvlJc w:val="left"/>
      <w:pPr>
        <w:tabs>
          <w:tab w:val="num" w:pos="8273"/>
        </w:tabs>
        <w:ind w:left="8273" w:hanging="360"/>
      </w:pPr>
      <w:rPr>
        <w:rFonts w:ascii="Courier New" w:hAnsi="Courier New" w:hint="default"/>
      </w:rPr>
    </w:lvl>
    <w:lvl w:ilvl="5" w:tplc="04090005">
      <w:start w:val="1"/>
      <w:numFmt w:val="bullet"/>
      <w:lvlText w:val=""/>
      <w:lvlJc w:val="left"/>
      <w:pPr>
        <w:tabs>
          <w:tab w:val="num" w:pos="8993"/>
        </w:tabs>
        <w:ind w:left="8993" w:hanging="360"/>
      </w:pPr>
      <w:rPr>
        <w:rFonts w:ascii="Wingdings" w:hAnsi="Wingdings" w:hint="default"/>
      </w:rPr>
    </w:lvl>
    <w:lvl w:ilvl="6" w:tplc="04090001">
      <w:start w:val="1"/>
      <w:numFmt w:val="bullet"/>
      <w:lvlText w:val=""/>
      <w:lvlJc w:val="left"/>
      <w:pPr>
        <w:tabs>
          <w:tab w:val="num" w:pos="9713"/>
        </w:tabs>
        <w:ind w:left="9713" w:hanging="360"/>
      </w:pPr>
      <w:rPr>
        <w:rFonts w:ascii="Symbol" w:hAnsi="Symbol" w:hint="default"/>
      </w:rPr>
    </w:lvl>
    <w:lvl w:ilvl="7" w:tplc="04090003">
      <w:start w:val="1"/>
      <w:numFmt w:val="bullet"/>
      <w:lvlText w:val="o"/>
      <w:lvlJc w:val="left"/>
      <w:pPr>
        <w:tabs>
          <w:tab w:val="num" w:pos="10433"/>
        </w:tabs>
        <w:ind w:left="10433" w:hanging="360"/>
      </w:pPr>
      <w:rPr>
        <w:rFonts w:ascii="Courier New" w:hAnsi="Courier New" w:hint="default"/>
      </w:rPr>
    </w:lvl>
    <w:lvl w:ilvl="8" w:tplc="04090005">
      <w:start w:val="1"/>
      <w:numFmt w:val="bullet"/>
      <w:lvlText w:val=""/>
      <w:lvlJc w:val="left"/>
      <w:pPr>
        <w:tabs>
          <w:tab w:val="num" w:pos="11153"/>
        </w:tabs>
        <w:ind w:left="11153"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70006A8"/>
    <w:multiLevelType w:val="hybridMultilevel"/>
    <w:tmpl w:val="45C4EE96"/>
    <w:lvl w:ilvl="0" w:tplc="AF04CA20">
      <w:start w:val="1"/>
      <w:numFmt w:val="upperRoman"/>
      <w:lvlText w:val="%1."/>
      <w:lvlJc w:val="left"/>
      <w:pPr>
        <w:ind w:left="994" w:hanging="720"/>
      </w:pPr>
      <w:rPr>
        <w:rFonts w:hint="default"/>
        <w:color w:val="auto"/>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1" w15:restartNumberingAfterBreak="0">
    <w:nsid w:val="490100D4"/>
    <w:multiLevelType w:val="multilevel"/>
    <w:tmpl w:val="FCB6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33303C5"/>
    <w:multiLevelType w:val="multilevel"/>
    <w:tmpl w:val="B75C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A702F5"/>
    <w:multiLevelType w:val="multilevel"/>
    <w:tmpl w:val="2C96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857EB"/>
    <w:multiLevelType w:val="multilevel"/>
    <w:tmpl w:val="42D6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9" w15:restartNumberingAfterBreak="0">
    <w:nsid w:val="6D801EFC"/>
    <w:multiLevelType w:val="multilevel"/>
    <w:tmpl w:val="C420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E1F66"/>
    <w:multiLevelType w:val="multilevel"/>
    <w:tmpl w:val="76C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0377641">
    <w:abstractNumId w:val="17"/>
  </w:num>
  <w:num w:numId="2" w16cid:durableId="1397439891">
    <w:abstractNumId w:val="27"/>
  </w:num>
  <w:num w:numId="3" w16cid:durableId="539585121">
    <w:abstractNumId w:val="15"/>
  </w:num>
  <w:num w:numId="4" w16cid:durableId="1505513160">
    <w:abstractNumId w:val="19"/>
  </w:num>
  <w:num w:numId="5" w16cid:durableId="978925957">
    <w:abstractNumId w:val="19"/>
  </w:num>
  <w:num w:numId="6" w16cid:durableId="1721400726">
    <w:abstractNumId w:val="19"/>
  </w:num>
  <w:num w:numId="7" w16cid:durableId="687826470">
    <w:abstractNumId w:val="19"/>
  </w:num>
  <w:num w:numId="8" w16cid:durableId="143812469">
    <w:abstractNumId w:val="23"/>
  </w:num>
  <w:num w:numId="9" w16cid:durableId="1364867722">
    <w:abstractNumId w:val="28"/>
  </w:num>
  <w:num w:numId="10" w16cid:durableId="2029989048">
    <w:abstractNumId w:val="18"/>
  </w:num>
  <w:num w:numId="11" w16cid:durableId="642739898">
    <w:abstractNumId w:val="13"/>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22"/>
  </w:num>
  <w:num w:numId="25" w16cid:durableId="1917282883">
    <w:abstractNumId w:val="23"/>
  </w:num>
  <w:num w:numId="26" w16cid:durableId="1700662236">
    <w:abstractNumId w:val="12"/>
  </w:num>
  <w:num w:numId="27" w16cid:durableId="685599312">
    <w:abstractNumId w:val="30"/>
  </w:num>
  <w:num w:numId="28" w16cid:durableId="578637622">
    <w:abstractNumId w:val="19"/>
  </w:num>
  <w:num w:numId="29" w16cid:durableId="15981001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595768">
    <w:abstractNumId w:val="26"/>
  </w:num>
  <w:num w:numId="31" w16cid:durableId="1754933094">
    <w:abstractNumId w:val="25"/>
  </w:num>
  <w:num w:numId="32" w16cid:durableId="810051391">
    <w:abstractNumId w:val="21"/>
  </w:num>
  <w:num w:numId="33" w16cid:durableId="2113889155">
    <w:abstractNumId w:val="14"/>
  </w:num>
  <w:num w:numId="34" w16cid:durableId="1587687820">
    <w:abstractNumId w:val="19"/>
  </w:num>
  <w:num w:numId="35" w16cid:durableId="833184097">
    <w:abstractNumId w:val="19"/>
  </w:num>
  <w:num w:numId="36" w16cid:durableId="86972715">
    <w:abstractNumId w:val="24"/>
  </w:num>
  <w:num w:numId="37" w16cid:durableId="953370646">
    <w:abstractNumId w:val="29"/>
  </w:num>
  <w:num w:numId="38" w16cid:durableId="652031934">
    <w:abstractNumId w:val="16"/>
  </w:num>
  <w:num w:numId="39" w16cid:durableId="17106911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66F6"/>
    <w:rsid w:val="0004781E"/>
    <w:rsid w:val="000813CB"/>
    <w:rsid w:val="0008758A"/>
    <w:rsid w:val="000C1E68"/>
    <w:rsid w:val="000E6355"/>
    <w:rsid w:val="000F2268"/>
    <w:rsid w:val="00130085"/>
    <w:rsid w:val="0015079E"/>
    <w:rsid w:val="00152080"/>
    <w:rsid w:val="00156B74"/>
    <w:rsid w:val="00161394"/>
    <w:rsid w:val="001A2EFD"/>
    <w:rsid w:val="001A3B3D"/>
    <w:rsid w:val="001A42EA"/>
    <w:rsid w:val="001B67DC"/>
    <w:rsid w:val="001D13B4"/>
    <w:rsid w:val="001D7BCF"/>
    <w:rsid w:val="0020470C"/>
    <w:rsid w:val="002254A9"/>
    <w:rsid w:val="00233D97"/>
    <w:rsid w:val="0026569D"/>
    <w:rsid w:val="002850E3"/>
    <w:rsid w:val="002E4FC7"/>
    <w:rsid w:val="003202C9"/>
    <w:rsid w:val="00354FCF"/>
    <w:rsid w:val="00372AAC"/>
    <w:rsid w:val="00375D0B"/>
    <w:rsid w:val="003A19E2"/>
    <w:rsid w:val="003E1B3B"/>
    <w:rsid w:val="003F6B4C"/>
    <w:rsid w:val="00421EC6"/>
    <w:rsid w:val="00422236"/>
    <w:rsid w:val="004325FB"/>
    <w:rsid w:val="004432BA"/>
    <w:rsid w:val="0044407E"/>
    <w:rsid w:val="004532AB"/>
    <w:rsid w:val="004B1FAB"/>
    <w:rsid w:val="004D72B5"/>
    <w:rsid w:val="004E23C0"/>
    <w:rsid w:val="00520BA8"/>
    <w:rsid w:val="00522F1B"/>
    <w:rsid w:val="00547E73"/>
    <w:rsid w:val="00551B7F"/>
    <w:rsid w:val="0056610F"/>
    <w:rsid w:val="00575BCA"/>
    <w:rsid w:val="005A3905"/>
    <w:rsid w:val="005B0344"/>
    <w:rsid w:val="005B520E"/>
    <w:rsid w:val="005E2800"/>
    <w:rsid w:val="006347CF"/>
    <w:rsid w:val="00645D22"/>
    <w:rsid w:val="006470F2"/>
    <w:rsid w:val="00651A08"/>
    <w:rsid w:val="00654204"/>
    <w:rsid w:val="00670434"/>
    <w:rsid w:val="006914B5"/>
    <w:rsid w:val="006B6B66"/>
    <w:rsid w:val="006F28FE"/>
    <w:rsid w:val="006F6D3D"/>
    <w:rsid w:val="00704134"/>
    <w:rsid w:val="00715BEA"/>
    <w:rsid w:val="00740EEA"/>
    <w:rsid w:val="007515FB"/>
    <w:rsid w:val="00794804"/>
    <w:rsid w:val="007A0B33"/>
    <w:rsid w:val="007B33F1"/>
    <w:rsid w:val="007C0308"/>
    <w:rsid w:val="007C2FF2"/>
    <w:rsid w:val="007D6232"/>
    <w:rsid w:val="007F1F99"/>
    <w:rsid w:val="007F6052"/>
    <w:rsid w:val="007F768F"/>
    <w:rsid w:val="00804F11"/>
    <w:rsid w:val="0080791D"/>
    <w:rsid w:val="008511C8"/>
    <w:rsid w:val="00854FF6"/>
    <w:rsid w:val="00873603"/>
    <w:rsid w:val="008A2C7D"/>
    <w:rsid w:val="008C4B23"/>
    <w:rsid w:val="008F6E2C"/>
    <w:rsid w:val="009259F0"/>
    <w:rsid w:val="009303D9"/>
    <w:rsid w:val="00933C64"/>
    <w:rsid w:val="00972203"/>
    <w:rsid w:val="009C2C12"/>
    <w:rsid w:val="009E5279"/>
    <w:rsid w:val="00A059B3"/>
    <w:rsid w:val="00A23CDB"/>
    <w:rsid w:val="00A8007F"/>
    <w:rsid w:val="00A83751"/>
    <w:rsid w:val="00A856C5"/>
    <w:rsid w:val="00AC3B53"/>
    <w:rsid w:val="00AE3409"/>
    <w:rsid w:val="00B11A60"/>
    <w:rsid w:val="00B22613"/>
    <w:rsid w:val="00B26EA3"/>
    <w:rsid w:val="00B3741A"/>
    <w:rsid w:val="00BA1025"/>
    <w:rsid w:val="00BC025E"/>
    <w:rsid w:val="00BC3420"/>
    <w:rsid w:val="00BC5EA8"/>
    <w:rsid w:val="00BE7D3C"/>
    <w:rsid w:val="00BF5FF6"/>
    <w:rsid w:val="00C0207F"/>
    <w:rsid w:val="00C128AF"/>
    <w:rsid w:val="00C16117"/>
    <w:rsid w:val="00C3075A"/>
    <w:rsid w:val="00C76FFC"/>
    <w:rsid w:val="00C919A4"/>
    <w:rsid w:val="00CA4392"/>
    <w:rsid w:val="00CC393F"/>
    <w:rsid w:val="00D13749"/>
    <w:rsid w:val="00D2176E"/>
    <w:rsid w:val="00D632BE"/>
    <w:rsid w:val="00D72D06"/>
    <w:rsid w:val="00D7522C"/>
    <w:rsid w:val="00D7536F"/>
    <w:rsid w:val="00D76668"/>
    <w:rsid w:val="00DA0D09"/>
    <w:rsid w:val="00DF384B"/>
    <w:rsid w:val="00DF7177"/>
    <w:rsid w:val="00E16BB0"/>
    <w:rsid w:val="00E22990"/>
    <w:rsid w:val="00E314F6"/>
    <w:rsid w:val="00E61E12"/>
    <w:rsid w:val="00E65B2D"/>
    <w:rsid w:val="00E7596C"/>
    <w:rsid w:val="00E878F2"/>
    <w:rsid w:val="00ED0149"/>
    <w:rsid w:val="00EF7DE3"/>
    <w:rsid w:val="00F03103"/>
    <w:rsid w:val="00F12284"/>
    <w:rsid w:val="00F23522"/>
    <w:rsid w:val="00F271DE"/>
    <w:rsid w:val="00F578A1"/>
    <w:rsid w:val="00F627DA"/>
    <w:rsid w:val="00F7288F"/>
    <w:rsid w:val="00F847A6"/>
    <w:rsid w:val="00F9441B"/>
    <w:rsid w:val="00F96569"/>
    <w:rsid w:val="00FA4C32"/>
    <w:rsid w:val="00FB475C"/>
    <w:rsid w:val="00FC41E8"/>
    <w:rsid w:val="00FE231E"/>
    <w:rsid w:val="00FE7114"/>
    <w:rsid w:val="00FF2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7">
    <w:name w:val="heading 7"/>
    <w:basedOn w:val="Normal"/>
    <w:next w:val="Normal"/>
    <w:link w:val="Heading7Char"/>
    <w:semiHidden/>
    <w:unhideWhenUsed/>
    <w:qFormat/>
    <w:rsid w:val="003202C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qFormat/>
    <w:pPr>
      <w:spacing w:before="360" w:after="40"/>
      <w:jc w:val="center"/>
    </w:pPr>
    <w:rPr>
      <w:noProof/>
      <w:sz w:val="22"/>
      <w:szCs w:val="22"/>
    </w:rPr>
  </w:style>
  <w:style w:type="paragraph" w:styleId="BodyText">
    <w:name w:val="Body Text"/>
    <w:basedOn w:val="Normal"/>
    <w:link w:val="BodyTextChar"/>
    <w:qFormat/>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qFormat/>
    <w:rsid w:val="00E7596C"/>
    <w:rPr>
      <w:spacing w:val="-1"/>
      <w:lang w:val="x-none" w:eastAsia="x-none"/>
    </w:rPr>
  </w:style>
  <w:style w:type="paragraph" w:customStyle="1" w:styleId="bulletlist">
    <w:name w:val="bullet list"/>
    <w:basedOn w:val="BodyText"/>
    <w:rsid w:val="001B67DC"/>
    <w:pPr>
      <w:numPr>
        <w:numId w:val="1"/>
      </w:numPr>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styleId="NormalWeb">
    <w:name w:val="Normal (Web)"/>
    <w:basedOn w:val="Normal"/>
    <w:uiPriority w:val="99"/>
    <w:rsid w:val="00804F11"/>
    <w:rPr>
      <w:sz w:val="24"/>
      <w:szCs w:val="24"/>
    </w:rPr>
  </w:style>
  <w:style w:type="character" w:styleId="Strong">
    <w:name w:val="Strong"/>
    <w:basedOn w:val="DefaultParagraphFont"/>
    <w:uiPriority w:val="22"/>
    <w:qFormat/>
    <w:rsid w:val="00FE231E"/>
    <w:rPr>
      <w:b/>
      <w:bCs/>
    </w:rPr>
  </w:style>
  <w:style w:type="character" w:customStyle="1" w:styleId="Heading7Char">
    <w:name w:val="Heading 7 Char"/>
    <w:basedOn w:val="DefaultParagraphFont"/>
    <w:link w:val="Heading7"/>
    <w:semiHidden/>
    <w:rsid w:val="003202C9"/>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320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doi.org/10.63962/CRZW443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Rovie Joie</cp:lastModifiedBy>
  <cp:revision>10</cp:revision>
  <cp:lastPrinted>2026-03-05T20:53:00Z</cp:lastPrinted>
  <dcterms:created xsi:type="dcterms:W3CDTF">2026-04-04T16:16:00Z</dcterms:created>
  <dcterms:modified xsi:type="dcterms:W3CDTF">2026-06-22T07:54:00Z</dcterms:modified>
</cp:coreProperties>
</file>